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3091BCF5" w14:textId="446C7C44" w:rsidR="00560878" w:rsidRPr="002636E9" w:rsidRDefault="00560878" w:rsidP="00560878">
      <w:pPr>
        <w:pStyle w:val="CRCoverPage"/>
        <w:tabs>
          <w:tab w:val="right" w:pos="9639"/>
        </w:tabs>
        <w:spacing w:after="0"/>
        <w:rPr>
          <w:rFonts w:ascii="Times New Roman" w:hAnsi="Times New Roman"/>
          <w:b/>
          <w:noProof/>
          <w:sz w:val="24"/>
          <w:lang w:val="en-US"/>
        </w:rPr>
      </w:pPr>
      <w:r w:rsidRPr="002636E9">
        <w:rPr>
          <w:rFonts w:ascii="Times New Roman" w:hAnsi="Times New Roman"/>
          <w:b/>
          <w:noProof/>
          <w:sz w:val="24"/>
        </w:rPr>
        <w:t>3GPP TSG-RAN WG1 Meeting #96</w:t>
      </w:r>
      <w:r w:rsidR="00354BE0">
        <w:rPr>
          <w:rFonts w:ascii="Times New Roman" w:hAnsi="Times New Roman"/>
          <w:b/>
          <w:noProof/>
          <w:sz w:val="24"/>
        </w:rPr>
        <w:t>b</w:t>
      </w:r>
      <w:r w:rsidRPr="002636E9">
        <w:rPr>
          <w:rFonts w:ascii="Times New Roman" w:hAnsi="Times New Roman"/>
          <w:b/>
          <w:i/>
          <w:noProof/>
          <w:sz w:val="28"/>
        </w:rPr>
        <w:tab/>
      </w:r>
      <w:r w:rsidRPr="002636E9">
        <w:rPr>
          <w:rFonts w:ascii="Times New Roman" w:hAnsi="Times New Roman"/>
          <w:b/>
          <w:noProof/>
          <w:sz w:val="24"/>
        </w:rPr>
        <w:t>R1-</w:t>
      </w:r>
      <w:r w:rsidR="00A8103B" w:rsidRPr="002636E9">
        <w:rPr>
          <w:rFonts w:ascii="Times New Roman" w:hAnsi="Times New Roman"/>
          <w:b/>
          <w:noProof/>
          <w:sz w:val="24"/>
        </w:rPr>
        <w:t>19</w:t>
      </w:r>
      <w:r w:rsidR="00D30DBA">
        <w:rPr>
          <w:rFonts w:ascii="Times New Roman" w:hAnsi="Times New Roman"/>
          <w:b/>
          <w:noProof/>
          <w:sz w:val="24"/>
        </w:rPr>
        <w:t>0502</w:t>
      </w:r>
      <w:r w:rsidR="00A926C4">
        <w:rPr>
          <w:rFonts w:ascii="Times New Roman" w:hAnsi="Times New Roman"/>
          <w:b/>
          <w:noProof/>
          <w:sz w:val="24"/>
        </w:rPr>
        <w:t>4</w:t>
      </w:r>
    </w:p>
    <w:p w14:paraId="620AE29C" w14:textId="07FF89E6" w:rsidR="00560878" w:rsidRPr="002636E9" w:rsidRDefault="00354BE0" w:rsidP="00560878">
      <w:pPr>
        <w:pStyle w:val="CRCoverPage"/>
        <w:spacing w:after="0"/>
        <w:outlineLvl w:val="0"/>
        <w:rPr>
          <w:rFonts w:ascii="Times New Roman" w:hAnsi="Times New Roman"/>
          <w:b/>
          <w:noProof/>
          <w:sz w:val="24"/>
        </w:rPr>
      </w:pPr>
      <w:r>
        <w:rPr>
          <w:rFonts w:ascii="Times New Roman" w:hAnsi="Times New Roman"/>
          <w:b/>
          <w:noProof/>
          <w:sz w:val="24"/>
        </w:rPr>
        <w:t>April</w:t>
      </w:r>
      <w:r w:rsidR="00560878" w:rsidRPr="002636E9">
        <w:rPr>
          <w:rFonts w:ascii="Times New Roman" w:hAnsi="Times New Roman"/>
          <w:b/>
          <w:noProof/>
          <w:sz w:val="24"/>
        </w:rPr>
        <w:t xml:space="preserve"> </w:t>
      </w:r>
      <w:r>
        <w:rPr>
          <w:rFonts w:ascii="Times New Roman" w:hAnsi="Times New Roman"/>
          <w:b/>
          <w:noProof/>
          <w:sz w:val="24"/>
        </w:rPr>
        <w:t>8</w:t>
      </w:r>
      <w:r w:rsidRPr="00354BE0">
        <w:rPr>
          <w:rFonts w:ascii="Times New Roman" w:hAnsi="Times New Roman"/>
          <w:b/>
          <w:noProof/>
          <w:sz w:val="24"/>
          <w:vertAlign w:val="superscript"/>
        </w:rPr>
        <w:t>th</w:t>
      </w:r>
      <w:r>
        <w:rPr>
          <w:rFonts w:ascii="Times New Roman" w:hAnsi="Times New Roman"/>
          <w:b/>
          <w:noProof/>
          <w:sz w:val="24"/>
        </w:rPr>
        <w:t xml:space="preserve"> </w:t>
      </w:r>
      <w:r w:rsidR="00560878" w:rsidRPr="002636E9">
        <w:rPr>
          <w:rFonts w:ascii="Times New Roman" w:hAnsi="Times New Roman"/>
          <w:b/>
          <w:noProof/>
          <w:sz w:val="24"/>
        </w:rPr>
        <w:t>–</w:t>
      </w:r>
      <w:r w:rsidR="00D24DA8" w:rsidRPr="002636E9">
        <w:rPr>
          <w:rFonts w:ascii="Times New Roman" w:hAnsi="Times New Roman"/>
          <w:b/>
          <w:noProof/>
          <w:sz w:val="24"/>
        </w:rPr>
        <w:t xml:space="preserve"> 1</w:t>
      </w:r>
      <w:r>
        <w:rPr>
          <w:rFonts w:ascii="Times New Roman" w:hAnsi="Times New Roman"/>
          <w:b/>
          <w:noProof/>
          <w:sz w:val="24"/>
        </w:rPr>
        <w:t>2</w:t>
      </w:r>
      <w:r>
        <w:rPr>
          <w:rFonts w:ascii="Times New Roman" w:hAnsi="Times New Roman"/>
          <w:b/>
          <w:noProof/>
          <w:sz w:val="24"/>
          <w:vertAlign w:val="superscript"/>
        </w:rPr>
        <w:t>th</w:t>
      </w:r>
      <w:r w:rsidR="00560878" w:rsidRPr="002636E9">
        <w:rPr>
          <w:rFonts w:ascii="Times New Roman" w:hAnsi="Times New Roman"/>
          <w:b/>
          <w:noProof/>
          <w:sz w:val="24"/>
        </w:rPr>
        <w:t>,  2019</w:t>
      </w:r>
    </w:p>
    <w:p w14:paraId="56A4722E" w14:textId="42460BF9" w:rsidR="00560878" w:rsidRPr="002636E9" w:rsidRDefault="00354BE0" w:rsidP="00560878">
      <w:pPr>
        <w:tabs>
          <w:tab w:val="left" w:pos="1985"/>
        </w:tabs>
        <w:jc w:val="both"/>
        <w:rPr>
          <w:rFonts w:eastAsia="MS Mincho"/>
          <w:b/>
          <w:noProof/>
          <w:sz w:val="24"/>
          <w:lang w:val="en-GB"/>
        </w:rPr>
      </w:pPr>
      <w:r>
        <w:rPr>
          <w:rFonts w:eastAsia="MS Mincho"/>
          <w:b/>
          <w:noProof/>
          <w:sz w:val="24"/>
          <w:lang w:val="en-GB"/>
        </w:rPr>
        <w:t>Xi’an</w:t>
      </w:r>
      <w:r w:rsidR="00560878" w:rsidRPr="002636E9">
        <w:rPr>
          <w:rFonts w:eastAsia="MS Mincho"/>
          <w:b/>
          <w:noProof/>
          <w:sz w:val="24"/>
          <w:lang w:val="en-GB"/>
        </w:rPr>
        <w:t xml:space="preserve">, </w:t>
      </w:r>
      <w:r>
        <w:rPr>
          <w:rFonts w:eastAsia="MS Mincho"/>
          <w:b/>
          <w:noProof/>
          <w:sz w:val="24"/>
          <w:lang w:val="en-GB"/>
        </w:rPr>
        <w:t>China</w:t>
      </w:r>
    </w:p>
    <w:p w14:paraId="0FF7EEB0" w14:textId="77777777" w:rsidR="00F15C93" w:rsidRPr="00560878" w:rsidRDefault="00F15C93" w:rsidP="00F15C93">
      <w:pPr>
        <w:pStyle w:val="Footer"/>
        <w:jc w:val="both"/>
        <w:rPr>
          <w:rFonts w:ascii="Times New Roman" w:hAnsi="Times New Roman"/>
          <w:i w:val="0"/>
          <w:noProof w:val="0"/>
          <w:lang w:val="en-GB"/>
        </w:rPr>
      </w:pPr>
    </w:p>
    <w:p w14:paraId="358C9AA6" w14:textId="523A242A"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C67890">
        <w:rPr>
          <w:b/>
          <w:sz w:val="24"/>
        </w:rPr>
        <w:t>6.</w:t>
      </w:r>
      <w:r w:rsidR="00354BE0">
        <w:rPr>
          <w:b/>
          <w:sz w:val="24"/>
        </w:rPr>
        <w:t>6</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499E410"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 xml:space="preserve">Enhanced </w:t>
      </w:r>
      <w:r w:rsidR="00AB4B07">
        <w:rPr>
          <w:sz w:val="24"/>
          <w:szCs w:val="24"/>
        </w:rPr>
        <w:t>Grant-Free Transmissions for</w:t>
      </w:r>
      <w:r w:rsidR="00354BE0">
        <w:rPr>
          <w:sz w:val="24"/>
          <w:szCs w:val="24"/>
        </w:rPr>
        <w:t xml:space="preserve">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AEE9A1D" w14:textId="77777777" w:rsidR="002E0FC2" w:rsidRDefault="002E0FC2" w:rsidP="00AC3C1C">
      <w:pPr>
        <w:tabs>
          <w:tab w:val="num" w:pos="2160"/>
          <w:tab w:val="num" w:pos="2880"/>
        </w:tabs>
        <w:jc w:val="both"/>
        <w:rPr>
          <w:rFonts w:asciiTheme="majorBidi" w:hAnsiTheme="majorBidi" w:cstheme="majorBidi"/>
          <w:bCs/>
          <w:sz w:val="22"/>
          <w:szCs w:val="24"/>
        </w:rPr>
      </w:pPr>
      <w:r>
        <w:rPr>
          <w:sz w:val="22"/>
          <w:szCs w:val="24"/>
        </w:rPr>
        <w:t xml:space="preserve">In RAN1#95, the following agreements related to the uplink grant-free transmissions for </w:t>
      </w:r>
      <w:proofErr w:type="spellStart"/>
      <w:r>
        <w:rPr>
          <w:sz w:val="22"/>
          <w:szCs w:val="24"/>
        </w:rPr>
        <w:t>eURLLC</w:t>
      </w:r>
      <w:proofErr w:type="spellEnd"/>
      <w:r>
        <w:rPr>
          <w:sz w:val="22"/>
          <w:szCs w:val="24"/>
        </w:rPr>
        <w:t xml:space="preserve"> were reached</w:t>
      </w:r>
      <w:r>
        <w:rPr>
          <w:rFonts w:asciiTheme="majorBidi" w:hAnsiTheme="majorBidi" w:cstheme="majorBidi"/>
          <w:bCs/>
          <w:sz w:val="22"/>
          <w:szCs w:val="24"/>
        </w:rPr>
        <w:t>:</w:t>
      </w:r>
    </w:p>
    <w:p w14:paraId="39E9A49B" w14:textId="174E38F8" w:rsidR="009B6182" w:rsidRPr="002E0FC2" w:rsidRDefault="0006064F" w:rsidP="002E0FC2">
      <w:pPr>
        <w:tabs>
          <w:tab w:val="num" w:pos="2880"/>
        </w:tabs>
        <w:jc w:val="both"/>
        <w:rPr>
          <w:rFonts w:asciiTheme="majorBidi" w:hAnsiTheme="majorBidi" w:cstheme="majorBidi"/>
          <w:b/>
          <w:bCs/>
          <w:szCs w:val="24"/>
        </w:rPr>
      </w:pPr>
      <w:r w:rsidRPr="002E0FC2">
        <w:rPr>
          <w:rFonts w:asciiTheme="majorBidi" w:hAnsiTheme="majorBidi" w:cstheme="majorBidi"/>
          <w:b/>
          <w:bCs/>
          <w:szCs w:val="24"/>
          <w:highlight w:val="green"/>
          <w:u w:val="single"/>
          <w:lang w:val="en-GB"/>
        </w:rPr>
        <w:t>Agreements:</w:t>
      </w:r>
    </w:p>
    <w:p w14:paraId="535CAAD8" w14:textId="77777777" w:rsidR="009B6182" w:rsidRPr="002E0FC2" w:rsidRDefault="0006064F" w:rsidP="00BD3E47">
      <w:pPr>
        <w:pStyle w:val="ListParagraph"/>
        <w:numPr>
          <w:ilvl w:val="0"/>
          <w:numId w:val="9"/>
        </w:numPr>
        <w:tabs>
          <w:tab w:val="num" w:pos="2160"/>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 xml:space="preserve">Multiple active configured grant configurations for a given BWP of a serving cell should be supported at least for different services/traffic types and/or for enhancing reliability and reducing latency </w:t>
      </w:r>
    </w:p>
    <w:p w14:paraId="251306D3" w14:textId="77777777" w:rsidR="009B6182" w:rsidRPr="002E0FC2" w:rsidRDefault="0006064F" w:rsidP="00BD3E47">
      <w:pPr>
        <w:pStyle w:val="ListParagraph"/>
        <w:numPr>
          <w:ilvl w:val="1"/>
          <w:numId w:val="9"/>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FFS details</w:t>
      </w:r>
    </w:p>
    <w:p w14:paraId="65F984C6" w14:textId="26A10A3C" w:rsidR="009B6182" w:rsidRPr="002E0FC2" w:rsidRDefault="0006064F" w:rsidP="00BD3E47">
      <w:pPr>
        <w:pStyle w:val="ListParagraph"/>
        <w:numPr>
          <w:ilvl w:val="1"/>
          <w:numId w:val="9"/>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Note: it is understood that the above may be related to RAN2-led work on intra-UE multiplexing</w:t>
      </w:r>
    </w:p>
    <w:p w14:paraId="0B125C7E" w14:textId="529C5D14" w:rsidR="002E0FC2" w:rsidRDefault="002E0FC2" w:rsidP="002E0FC2">
      <w:pPr>
        <w:tabs>
          <w:tab w:val="num" w:pos="2880"/>
        </w:tabs>
        <w:jc w:val="both"/>
        <w:rPr>
          <w:rFonts w:asciiTheme="majorBidi" w:hAnsiTheme="majorBidi" w:cstheme="majorBidi"/>
          <w:bCs/>
          <w:i/>
          <w:szCs w:val="24"/>
          <w:lang w:eastAsia="zh-CN"/>
        </w:rPr>
      </w:pPr>
    </w:p>
    <w:p w14:paraId="15B288E7" w14:textId="77777777" w:rsidR="009B6182" w:rsidRPr="002E0FC2" w:rsidRDefault="0006064F" w:rsidP="002E0FC2">
      <w:pPr>
        <w:tabs>
          <w:tab w:val="num" w:pos="2880"/>
        </w:tabs>
        <w:jc w:val="both"/>
        <w:rPr>
          <w:rFonts w:asciiTheme="majorBidi" w:hAnsiTheme="majorBidi" w:cstheme="majorBidi"/>
          <w:b/>
          <w:bCs/>
          <w:szCs w:val="24"/>
          <w:u w:val="single"/>
        </w:rPr>
      </w:pPr>
      <w:r w:rsidRPr="002E0FC2">
        <w:rPr>
          <w:rFonts w:asciiTheme="majorBidi" w:hAnsiTheme="majorBidi" w:cstheme="majorBidi"/>
          <w:b/>
          <w:bCs/>
          <w:szCs w:val="24"/>
          <w:highlight w:val="green"/>
          <w:u w:val="single"/>
          <w:lang w:val="en-GB"/>
        </w:rPr>
        <w:t>Agreements:</w:t>
      </w:r>
    </w:p>
    <w:p w14:paraId="74FE6B0C" w14:textId="77777777" w:rsidR="002E0FC2" w:rsidRPr="002E0FC2" w:rsidRDefault="0006064F" w:rsidP="00BD3E47">
      <w:pPr>
        <w:pStyle w:val="ListParagraph"/>
        <w:numPr>
          <w:ilvl w:val="0"/>
          <w:numId w:val="9"/>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One PUSCH transmission instance is not allowed to cross the slot boundary for UL configured grant</w:t>
      </w:r>
    </w:p>
    <w:p w14:paraId="7D3AB57E" w14:textId="6F323A95" w:rsidR="009B6182" w:rsidRPr="002E0FC2" w:rsidRDefault="0006064F" w:rsidP="002E0FC2">
      <w:pPr>
        <w:pStyle w:val="ListParagraph"/>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 xml:space="preserve"> </w:t>
      </w:r>
    </w:p>
    <w:p w14:paraId="1381BD77" w14:textId="77777777" w:rsidR="002E0FC2" w:rsidRDefault="0006064F" w:rsidP="002E0FC2">
      <w:pPr>
        <w:tabs>
          <w:tab w:val="num" w:pos="2880"/>
        </w:tabs>
        <w:jc w:val="both"/>
        <w:rPr>
          <w:rFonts w:asciiTheme="majorBidi" w:hAnsiTheme="majorBidi" w:cstheme="majorBidi"/>
          <w:b/>
          <w:bCs/>
          <w:szCs w:val="24"/>
          <w:u w:val="single"/>
        </w:rPr>
      </w:pPr>
      <w:r w:rsidRPr="002E0FC2">
        <w:rPr>
          <w:rFonts w:asciiTheme="majorBidi" w:hAnsiTheme="majorBidi" w:cstheme="majorBidi"/>
          <w:b/>
          <w:bCs/>
          <w:szCs w:val="24"/>
          <w:highlight w:val="green"/>
          <w:u w:val="single"/>
          <w:lang w:val="en-GB"/>
        </w:rPr>
        <w:t>Agreements:</w:t>
      </w:r>
    </w:p>
    <w:p w14:paraId="68DD2C02" w14:textId="048593BF" w:rsidR="009B6182" w:rsidRPr="002E0FC2" w:rsidRDefault="0006064F" w:rsidP="00BD3E47">
      <w:pPr>
        <w:pStyle w:val="ListParagraph"/>
        <w:numPr>
          <w:ilvl w:val="0"/>
          <w:numId w:val="10"/>
        </w:numPr>
        <w:tabs>
          <w:tab w:val="num" w:pos="2880"/>
        </w:tabs>
        <w:jc w:val="both"/>
        <w:rPr>
          <w:rFonts w:asciiTheme="majorBidi" w:hAnsiTheme="majorBidi" w:cstheme="majorBidi"/>
          <w:b/>
          <w:bCs/>
          <w:szCs w:val="24"/>
          <w:u w:val="single"/>
        </w:rPr>
      </w:pPr>
      <w:r w:rsidRPr="002E0FC2">
        <w:rPr>
          <w:rFonts w:asciiTheme="majorBidi" w:hAnsiTheme="majorBidi" w:cstheme="majorBidi"/>
          <w:bCs/>
          <w:i/>
          <w:szCs w:val="24"/>
          <w:lang w:val="en-GB"/>
        </w:rPr>
        <w:t xml:space="preserve">For whether to support explicit HARQ-ACK for configured grant for UL, at least study further </w:t>
      </w:r>
      <w:proofErr w:type="spellStart"/>
      <w:r w:rsidRPr="002E0FC2">
        <w:rPr>
          <w:rFonts w:asciiTheme="majorBidi" w:hAnsiTheme="majorBidi" w:cstheme="majorBidi"/>
          <w:bCs/>
          <w:i/>
          <w:szCs w:val="24"/>
          <w:lang w:val="en-GB"/>
        </w:rPr>
        <w:t>gNB’s</w:t>
      </w:r>
      <w:proofErr w:type="spellEnd"/>
      <w:r w:rsidRPr="002E0FC2">
        <w:rPr>
          <w:rFonts w:asciiTheme="majorBidi" w:hAnsiTheme="majorBidi" w:cstheme="majorBidi"/>
          <w:bCs/>
          <w:i/>
          <w:szCs w:val="24"/>
          <w:lang w:val="en-GB"/>
        </w:rPr>
        <w:t xml:space="preserve"> missed detection performance of the PUSCH under configured grant</w:t>
      </w:r>
    </w:p>
    <w:p w14:paraId="07EE37C6" w14:textId="77777777" w:rsidR="009B6182" w:rsidRPr="002E0FC2" w:rsidRDefault="0006064F" w:rsidP="00BD3E47">
      <w:pPr>
        <w:pStyle w:val="ListParagraph"/>
        <w:numPr>
          <w:ilvl w:val="1"/>
          <w:numId w:val="10"/>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 xml:space="preserve">Study how to resolve </w:t>
      </w:r>
      <w:proofErr w:type="spellStart"/>
      <w:r w:rsidRPr="002E0FC2">
        <w:rPr>
          <w:rFonts w:asciiTheme="majorBidi" w:hAnsiTheme="majorBidi" w:cstheme="majorBidi"/>
          <w:bCs/>
          <w:i/>
          <w:szCs w:val="24"/>
          <w:lang w:val="en-GB"/>
        </w:rPr>
        <w:t>gNB’s</w:t>
      </w:r>
      <w:proofErr w:type="spellEnd"/>
      <w:r w:rsidRPr="002E0FC2">
        <w:rPr>
          <w:rFonts w:asciiTheme="majorBidi" w:hAnsiTheme="majorBidi" w:cstheme="majorBidi"/>
          <w:bCs/>
          <w:i/>
          <w:szCs w:val="24"/>
          <w:lang w:val="en-GB"/>
        </w:rPr>
        <w:t xml:space="preserve"> missed detection if it is an issue </w:t>
      </w:r>
    </w:p>
    <w:p w14:paraId="58DE61BF" w14:textId="77777777" w:rsidR="009B6182" w:rsidRPr="002E0FC2" w:rsidRDefault="0006064F" w:rsidP="00BD3E47">
      <w:pPr>
        <w:pStyle w:val="ListParagraph"/>
        <w:numPr>
          <w:ilvl w:val="1"/>
          <w:numId w:val="10"/>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Study should take at least following into account:</w:t>
      </w:r>
    </w:p>
    <w:p w14:paraId="6658CCC7" w14:textId="77777777" w:rsidR="009B6182" w:rsidRPr="002E0FC2" w:rsidRDefault="0006064F" w:rsidP="00BD3E47">
      <w:pPr>
        <w:pStyle w:val="ListParagraph"/>
        <w:numPr>
          <w:ilvl w:val="2"/>
          <w:numId w:val="10"/>
        </w:numPr>
        <w:jc w:val="both"/>
        <w:rPr>
          <w:rFonts w:asciiTheme="majorBidi" w:hAnsiTheme="majorBidi" w:cstheme="majorBidi"/>
          <w:bCs/>
          <w:i/>
          <w:szCs w:val="24"/>
        </w:rPr>
      </w:pPr>
      <w:r w:rsidRPr="002E0FC2">
        <w:rPr>
          <w:rFonts w:asciiTheme="majorBidi" w:hAnsiTheme="majorBidi" w:cstheme="majorBidi"/>
          <w:bCs/>
          <w:i/>
          <w:szCs w:val="24"/>
          <w:lang w:val="en-GB"/>
        </w:rPr>
        <w:t xml:space="preserve">Companies report the false alarm target </w:t>
      </w:r>
    </w:p>
    <w:p w14:paraId="77B4D9D0" w14:textId="77777777" w:rsidR="009B6182" w:rsidRPr="002E0FC2" w:rsidRDefault="0006064F" w:rsidP="00BD3E47">
      <w:pPr>
        <w:pStyle w:val="ListParagraph"/>
        <w:numPr>
          <w:ilvl w:val="2"/>
          <w:numId w:val="10"/>
        </w:numPr>
        <w:jc w:val="both"/>
        <w:rPr>
          <w:rFonts w:asciiTheme="majorBidi" w:hAnsiTheme="majorBidi" w:cstheme="majorBidi"/>
          <w:bCs/>
          <w:i/>
          <w:szCs w:val="24"/>
        </w:rPr>
      </w:pPr>
      <w:r w:rsidRPr="002E0FC2">
        <w:rPr>
          <w:rFonts w:asciiTheme="majorBidi" w:hAnsiTheme="majorBidi" w:cstheme="majorBidi"/>
          <w:bCs/>
          <w:i/>
          <w:szCs w:val="24"/>
          <w:lang w:val="en-GB"/>
        </w:rPr>
        <w:t>Companies report the DMRS configuration assumptions</w:t>
      </w:r>
    </w:p>
    <w:p w14:paraId="7014F380" w14:textId="77777777" w:rsidR="009B6182" w:rsidRPr="002E0FC2" w:rsidRDefault="0006064F" w:rsidP="00BD3E47">
      <w:pPr>
        <w:pStyle w:val="ListParagraph"/>
        <w:numPr>
          <w:ilvl w:val="2"/>
          <w:numId w:val="10"/>
        </w:numPr>
        <w:jc w:val="both"/>
        <w:rPr>
          <w:rFonts w:asciiTheme="majorBidi" w:hAnsiTheme="majorBidi" w:cstheme="majorBidi"/>
          <w:bCs/>
          <w:i/>
          <w:szCs w:val="24"/>
        </w:rPr>
      </w:pPr>
      <w:r w:rsidRPr="002E0FC2">
        <w:rPr>
          <w:rFonts w:asciiTheme="majorBidi" w:hAnsiTheme="majorBidi" w:cstheme="majorBidi"/>
          <w:bCs/>
          <w:i/>
          <w:szCs w:val="24"/>
          <w:lang w:val="en-GB"/>
        </w:rPr>
        <w:t>The number of UEs sharing the time/frequency-domain grant free resource: 1 is the baseline, larger than 1 can also be considered</w:t>
      </w:r>
    </w:p>
    <w:p w14:paraId="3F693252" w14:textId="77777777" w:rsidR="00BA71CD" w:rsidRPr="00221850" w:rsidRDefault="00BA71CD" w:rsidP="00BA71CD">
      <w:pPr>
        <w:rPr>
          <w:b/>
          <w:lang w:eastAsia="x-none"/>
        </w:rPr>
      </w:pPr>
      <w:r w:rsidRPr="00221850">
        <w:rPr>
          <w:highlight w:val="green"/>
          <w:lang w:eastAsia="x-none"/>
        </w:rPr>
        <w:t>Agreements</w:t>
      </w:r>
      <w:r w:rsidRPr="00221850">
        <w:rPr>
          <w:b/>
          <w:lang w:eastAsia="x-none"/>
        </w:rPr>
        <w:t>:</w:t>
      </w:r>
    </w:p>
    <w:p w14:paraId="41BC44DD" w14:textId="77777777" w:rsidR="00BA71CD" w:rsidRPr="00BA71CD" w:rsidRDefault="00BA71CD" w:rsidP="00BA71CD">
      <w:pPr>
        <w:pStyle w:val="BodyText"/>
        <w:numPr>
          <w:ilvl w:val="0"/>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hint="eastAsia"/>
          <w:bCs/>
          <w:i/>
          <w:sz w:val="22"/>
          <w:lang w:val="en-GB"/>
        </w:rPr>
        <w:t>S</w:t>
      </w:r>
      <w:r w:rsidRPr="00BA71CD">
        <w:rPr>
          <w:rFonts w:asciiTheme="majorBidi" w:eastAsia="Calibri" w:hAnsiTheme="majorBidi" w:cstheme="majorBidi"/>
          <w:bCs/>
          <w:i/>
          <w:sz w:val="22"/>
          <w:lang w:val="en-GB"/>
        </w:rPr>
        <w:t>tudy further whether/how multiple active configured grants for a BWP of a serving cell.</w:t>
      </w:r>
    </w:p>
    <w:p w14:paraId="6EAA9A4A" w14:textId="77777777" w:rsidR="00BA71CD" w:rsidRPr="00BA71CD" w:rsidRDefault="00BA71CD" w:rsidP="00BA71CD">
      <w:pPr>
        <w:pStyle w:val="BodyText"/>
        <w:numPr>
          <w:ilvl w:val="1"/>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bCs/>
          <w:i/>
          <w:sz w:val="22"/>
          <w:lang w:val="en-GB"/>
        </w:rPr>
        <w:t>Identify potential specification impacts and options for both type 1 and type 2</w:t>
      </w:r>
    </w:p>
    <w:p w14:paraId="21EDF814" w14:textId="77777777" w:rsidR="00BA71CD" w:rsidRPr="00BA71CD" w:rsidRDefault="00BA71CD" w:rsidP="00BA71CD">
      <w:pPr>
        <w:pStyle w:val="BodyText"/>
        <w:numPr>
          <w:ilvl w:val="2"/>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bCs/>
          <w:i/>
          <w:sz w:val="22"/>
          <w:lang w:val="en-GB"/>
        </w:rPr>
        <w:t xml:space="preserve">At least </w:t>
      </w:r>
      <w:r w:rsidRPr="00BA71CD">
        <w:rPr>
          <w:rFonts w:asciiTheme="majorBidi" w:eastAsia="Calibri" w:hAnsiTheme="majorBidi" w:cstheme="majorBidi" w:hint="eastAsia"/>
          <w:bCs/>
          <w:i/>
          <w:sz w:val="22"/>
          <w:lang w:val="en-GB"/>
        </w:rPr>
        <w:t>A</w:t>
      </w:r>
      <w:r w:rsidRPr="00BA71CD">
        <w:rPr>
          <w:rFonts w:asciiTheme="majorBidi" w:eastAsia="Calibri" w:hAnsiTheme="majorBidi" w:cstheme="majorBidi"/>
          <w:bCs/>
          <w:i/>
          <w:sz w:val="22"/>
          <w:lang w:val="en-GB"/>
        </w:rPr>
        <w:t>ctivation/deactivation mechanism for Type2</w:t>
      </w:r>
    </w:p>
    <w:p w14:paraId="4152E005" w14:textId="77777777" w:rsidR="00BA71CD" w:rsidRPr="00BA71CD" w:rsidRDefault="00BA71CD" w:rsidP="00BA71CD">
      <w:pPr>
        <w:pStyle w:val="BodyText"/>
        <w:numPr>
          <w:ilvl w:val="3"/>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bCs/>
          <w:i/>
          <w:sz w:val="22"/>
          <w:lang w:val="en-GB"/>
        </w:rPr>
        <w:t>E.g., whether each configuration is activated/deactivated or multiple configurations are activated/deactivated</w:t>
      </w:r>
    </w:p>
    <w:p w14:paraId="236907F8" w14:textId="77777777" w:rsidR="00BA71CD" w:rsidRPr="00BA71CD" w:rsidRDefault="00BA71CD" w:rsidP="00BA71CD">
      <w:pPr>
        <w:pStyle w:val="BodyText"/>
        <w:numPr>
          <w:ilvl w:val="2"/>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bCs/>
          <w:i/>
          <w:sz w:val="22"/>
          <w:lang w:val="en-GB"/>
        </w:rPr>
        <w:t>Study how to support repetitions with multiple configurations for a BWP of a serving cell</w:t>
      </w:r>
    </w:p>
    <w:p w14:paraId="0F637B01" w14:textId="77777777" w:rsidR="00BA71CD" w:rsidRPr="00BA71CD" w:rsidRDefault="00BA71CD" w:rsidP="00BA71CD">
      <w:pPr>
        <w:pStyle w:val="BodyText"/>
        <w:numPr>
          <w:ilvl w:val="2"/>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bCs/>
          <w:i/>
          <w:sz w:val="22"/>
          <w:lang w:val="en-GB"/>
        </w:rPr>
        <w:t xml:space="preserve">FFS </w:t>
      </w:r>
      <w:r w:rsidRPr="00BA71CD">
        <w:rPr>
          <w:rFonts w:asciiTheme="majorBidi" w:eastAsia="Calibri" w:hAnsiTheme="majorBidi" w:cstheme="majorBidi" w:hint="eastAsia"/>
          <w:bCs/>
          <w:i/>
          <w:sz w:val="22"/>
          <w:lang w:val="en-GB"/>
        </w:rPr>
        <w:t>H</w:t>
      </w:r>
      <w:r w:rsidRPr="00BA71CD">
        <w:rPr>
          <w:rFonts w:asciiTheme="majorBidi" w:eastAsia="Calibri" w:hAnsiTheme="majorBidi" w:cstheme="majorBidi"/>
          <w:bCs/>
          <w:i/>
          <w:sz w:val="22"/>
          <w:lang w:val="en-GB"/>
        </w:rPr>
        <w:t>ARQ process ID determination for both type 1 and type 2</w:t>
      </w:r>
    </w:p>
    <w:p w14:paraId="76729AE5" w14:textId="77777777" w:rsidR="00BA71CD" w:rsidRPr="00BA71CD" w:rsidRDefault="00BA71CD" w:rsidP="00BA71CD">
      <w:pPr>
        <w:pStyle w:val="BodyText"/>
        <w:numPr>
          <w:ilvl w:val="2"/>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bCs/>
          <w:i/>
          <w:sz w:val="22"/>
          <w:lang w:val="en-GB"/>
        </w:rPr>
        <w:t>FFS other specification impacts for both type 1 and type 2</w:t>
      </w:r>
    </w:p>
    <w:p w14:paraId="25AD329D" w14:textId="77777777" w:rsidR="00BA71CD" w:rsidRPr="00BA71CD" w:rsidRDefault="00BA71CD" w:rsidP="00BA71CD">
      <w:pPr>
        <w:pStyle w:val="BodyText"/>
        <w:numPr>
          <w:ilvl w:val="1"/>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bCs/>
          <w:i/>
          <w:sz w:val="22"/>
          <w:lang w:val="en-GB"/>
        </w:rPr>
        <w:t>Study the performance impacts</w:t>
      </w:r>
    </w:p>
    <w:p w14:paraId="1961408A" w14:textId="77777777" w:rsidR="00BA71CD" w:rsidRPr="00221850" w:rsidRDefault="00BA71CD" w:rsidP="00BA71CD">
      <w:pPr>
        <w:rPr>
          <w:b/>
          <w:sz w:val="18"/>
          <w:lang w:eastAsia="x-none"/>
        </w:rPr>
      </w:pPr>
      <w:r w:rsidRPr="00221850">
        <w:rPr>
          <w:sz w:val="18"/>
          <w:highlight w:val="green"/>
          <w:lang w:eastAsia="x-none"/>
        </w:rPr>
        <w:lastRenderedPageBreak/>
        <w:t>Agreements</w:t>
      </w:r>
      <w:r w:rsidRPr="00221850">
        <w:rPr>
          <w:b/>
          <w:sz w:val="18"/>
          <w:lang w:eastAsia="x-none"/>
        </w:rPr>
        <w:t>:</w:t>
      </w:r>
    </w:p>
    <w:p w14:paraId="42F5B10C" w14:textId="77777777" w:rsidR="00BA71CD" w:rsidRPr="00BA71CD" w:rsidRDefault="00BA71CD" w:rsidP="00BA71CD">
      <w:pPr>
        <w:pStyle w:val="BodyText"/>
        <w:numPr>
          <w:ilvl w:val="0"/>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hint="eastAsia"/>
          <w:bCs/>
          <w:i/>
          <w:sz w:val="22"/>
          <w:lang w:val="en-GB"/>
        </w:rPr>
        <w:t>S</w:t>
      </w:r>
      <w:r w:rsidRPr="00BA71CD">
        <w:rPr>
          <w:rFonts w:asciiTheme="majorBidi" w:eastAsia="Calibri" w:hAnsiTheme="majorBidi" w:cstheme="majorBidi"/>
          <w:bCs/>
          <w:i/>
          <w:sz w:val="22"/>
          <w:lang w:val="en-GB"/>
        </w:rPr>
        <w:t>tudy further whether/how on ensuring K repetitions.</w:t>
      </w:r>
    </w:p>
    <w:p w14:paraId="6695E034" w14:textId="77777777" w:rsidR="00BA71CD" w:rsidRPr="00BA71CD" w:rsidRDefault="00BA71CD" w:rsidP="00BA71CD">
      <w:pPr>
        <w:pStyle w:val="BodyText"/>
        <w:numPr>
          <w:ilvl w:val="0"/>
          <w:numId w:val="14"/>
        </w:numPr>
        <w:overflowPunct/>
        <w:autoSpaceDE/>
        <w:autoSpaceDN/>
        <w:adjustRightInd/>
        <w:spacing w:afterLines="50"/>
        <w:textAlignment w:val="auto"/>
        <w:rPr>
          <w:rFonts w:asciiTheme="majorBidi" w:eastAsia="Calibri" w:hAnsiTheme="majorBidi" w:cstheme="majorBidi"/>
          <w:bCs/>
          <w:i/>
          <w:sz w:val="22"/>
          <w:lang w:val="en-GB"/>
        </w:rPr>
      </w:pPr>
      <w:r w:rsidRPr="00BA71CD">
        <w:rPr>
          <w:rFonts w:asciiTheme="majorBidi" w:eastAsia="Calibri" w:hAnsiTheme="majorBidi" w:cstheme="majorBidi" w:hint="eastAsia"/>
          <w:bCs/>
          <w:i/>
          <w:sz w:val="22"/>
          <w:lang w:val="en-GB"/>
        </w:rPr>
        <w:t>S</w:t>
      </w:r>
      <w:r w:rsidRPr="00BA71CD">
        <w:rPr>
          <w:rFonts w:asciiTheme="majorBidi" w:eastAsia="Calibri" w:hAnsiTheme="majorBidi" w:cstheme="majorBidi"/>
          <w:bCs/>
          <w:i/>
          <w:sz w:val="22"/>
          <w:lang w:val="en-GB"/>
        </w:rPr>
        <w:t>tudy further on PUSCH repetitions within a slot for configured grant.</w:t>
      </w:r>
    </w:p>
    <w:p w14:paraId="74EC3E3B" w14:textId="637C97DC" w:rsidR="00A705FF" w:rsidRPr="00A705FF" w:rsidRDefault="00A705FF" w:rsidP="00A705FF">
      <w:pPr>
        <w:tabs>
          <w:tab w:val="num" w:pos="2880"/>
        </w:tabs>
        <w:jc w:val="both"/>
        <w:rPr>
          <w:rFonts w:asciiTheme="majorBidi" w:hAnsiTheme="majorBidi" w:cstheme="majorBidi"/>
          <w:bCs/>
          <w:szCs w:val="24"/>
        </w:rPr>
      </w:pPr>
      <w:r w:rsidRPr="00A705FF">
        <w:rPr>
          <w:rFonts w:asciiTheme="majorBidi" w:hAnsiTheme="majorBidi" w:cstheme="majorBidi"/>
          <w:bCs/>
          <w:szCs w:val="24"/>
        </w:rPr>
        <w:t xml:space="preserve">In the subsequent sections of this paper, we present more design details for enabling multiple active configured grant configurations per BWP. </w:t>
      </w:r>
    </w:p>
    <w:p w14:paraId="536381B3" w14:textId="77777777" w:rsidR="00A705FF" w:rsidRDefault="00A705FF" w:rsidP="00A705FF">
      <w:pPr>
        <w:tabs>
          <w:tab w:val="num" w:pos="2880"/>
        </w:tabs>
        <w:jc w:val="both"/>
      </w:pPr>
    </w:p>
    <w:p w14:paraId="7011A812" w14:textId="77777777" w:rsidR="00C91472" w:rsidRDefault="00C91472" w:rsidP="003A3006">
      <w:pPr>
        <w:pStyle w:val="Heading1"/>
        <w:jc w:val="both"/>
        <w:rPr>
          <w:rFonts w:ascii="Times New Roman" w:hAnsi="Times New Roman"/>
        </w:rPr>
      </w:pPr>
      <w:r>
        <w:rPr>
          <w:rFonts w:ascii="Times New Roman" w:hAnsi="Times New Roman"/>
        </w:rPr>
        <w:t>Configured grant operation: potential open issues</w:t>
      </w:r>
    </w:p>
    <w:p w14:paraId="04DE3EAB" w14:textId="1B29D92C" w:rsidR="00936B90" w:rsidRDefault="0012399B" w:rsidP="00936B90">
      <w:pPr>
        <w:jc w:val="both"/>
        <w:rPr>
          <w:szCs w:val="24"/>
          <w:lang w:val="en-GB"/>
        </w:rPr>
      </w:pPr>
      <w:r w:rsidRPr="00BD3E47">
        <w:rPr>
          <w:rFonts w:asciiTheme="majorBidi" w:hAnsiTheme="majorBidi" w:cstheme="majorBidi"/>
          <w:bCs/>
        </w:rPr>
        <w:t xml:space="preserve">As agreed in RAN1#95, to reduce the latency and to ensure reliability, a UE can be configured with multiple grant-free configurations. Further, no single grant-free PUSCH transmission </w:t>
      </w:r>
      <w:proofErr w:type="gramStart"/>
      <w:r w:rsidRPr="00BD3E47">
        <w:rPr>
          <w:rFonts w:asciiTheme="majorBidi" w:hAnsiTheme="majorBidi" w:cstheme="majorBidi"/>
          <w:bCs/>
        </w:rPr>
        <w:t>is allowed to</w:t>
      </w:r>
      <w:proofErr w:type="gramEnd"/>
      <w:r w:rsidRPr="00BD3E47">
        <w:rPr>
          <w:rFonts w:asciiTheme="majorBidi" w:hAnsiTheme="majorBidi" w:cstheme="majorBidi"/>
          <w:bCs/>
        </w:rPr>
        <w:t xml:space="preserve"> cross the slot boundary. </w:t>
      </w:r>
      <w:r w:rsidR="00633BE3">
        <w:rPr>
          <w:rFonts w:asciiTheme="majorBidi" w:hAnsiTheme="majorBidi" w:cstheme="majorBidi"/>
          <w:bCs/>
        </w:rPr>
        <w:t>Besides</w:t>
      </w:r>
      <w:r>
        <w:rPr>
          <w:rFonts w:asciiTheme="majorBidi" w:hAnsiTheme="majorBidi" w:cstheme="majorBidi"/>
          <w:bCs/>
        </w:rPr>
        <w:t xml:space="preserve">, it has been </w:t>
      </w:r>
      <w:r w:rsidR="00633BE3">
        <w:rPr>
          <w:rFonts w:asciiTheme="majorBidi" w:hAnsiTheme="majorBidi" w:cstheme="majorBidi"/>
          <w:bCs/>
        </w:rPr>
        <w:t>desired</w:t>
      </w:r>
      <w:r>
        <w:rPr>
          <w:rFonts w:asciiTheme="majorBidi" w:hAnsiTheme="majorBidi" w:cstheme="majorBidi"/>
          <w:bCs/>
        </w:rPr>
        <w:t xml:space="preserve"> to consider a common solution between enhanced dynamic PUSCH and enhanced UL configured grant. </w:t>
      </w:r>
      <w:r w:rsidR="00936B90">
        <w:rPr>
          <w:rFonts w:asciiTheme="majorBidi" w:hAnsiTheme="majorBidi" w:cstheme="majorBidi"/>
          <w:bCs/>
        </w:rPr>
        <w:t xml:space="preserve">In [1], different options </w:t>
      </w:r>
      <w:r w:rsidR="002C42DA">
        <w:rPr>
          <w:rFonts w:asciiTheme="majorBidi" w:hAnsiTheme="majorBidi" w:cstheme="majorBidi"/>
          <w:bCs/>
        </w:rPr>
        <w:t>were</w:t>
      </w:r>
      <w:r w:rsidR="00936B90">
        <w:rPr>
          <w:rFonts w:asciiTheme="majorBidi" w:hAnsiTheme="majorBidi" w:cstheme="majorBidi"/>
          <w:bCs/>
        </w:rPr>
        <w:t xml:space="preserve"> studied as baseline</w:t>
      </w:r>
      <w:r w:rsidR="00EE6B3D">
        <w:rPr>
          <w:rFonts w:asciiTheme="majorBidi" w:hAnsiTheme="majorBidi" w:cstheme="majorBidi"/>
          <w:bCs/>
        </w:rPr>
        <w:t xml:space="preserve"> solutions</w:t>
      </w:r>
      <w:r w:rsidR="00936B90">
        <w:rPr>
          <w:rFonts w:asciiTheme="majorBidi" w:hAnsiTheme="majorBidi" w:cstheme="majorBidi"/>
          <w:bCs/>
        </w:rPr>
        <w:t xml:space="preserve"> for enhanced PUSCH. </w:t>
      </w:r>
      <w:r w:rsidR="00EE6B3D">
        <w:rPr>
          <w:rFonts w:asciiTheme="majorBidi" w:hAnsiTheme="majorBidi" w:cstheme="majorBidi"/>
          <w:bCs/>
        </w:rPr>
        <w:t>F</w:t>
      </w:r>
      <w:r w:rsidR="00936B90">
        <w:rPr>
          <w:rFonts w:asciiTheme="majorBidi" w:hAnsiTheme="majorBidi" w:cstheme="majorBidi"/>
          <w:bCs/>
        </w:rPr>
        <w:t xml:space="preserve">or our detailed </w:t>
      </w:r>
      <w:r w:rsidR="00EE6B3D">
        <w:rPr>
          <w:rFonts w:asciiTheme="majorBidi" w:hAnsiTheme="majorBidi" w:cstheme="majorBidi"/>
          <w:bCs/>
        </w:rPr>
        <w:t xml:space="preserve">discussion </w:t>
      </w:r>
      <w:r w:rsidR="00936B90">
        <w:rPr>
          <w:rFonts w:asciiTheme="majorBidi" w:hAnsiTheme="majorBidi" w:cstheme="majorBidi"/>
          <w:bCs/>
        </w:rPr>
        <w:t>on each of th</w:t>
      </w:r>
      <w:r w:rsidR="00EE6B3D">
        <w:rPr>
          <w:rFonts w:asciiTheme="majorBidi" w:hAnsiTheme="majorBidi" w:cstheme="majorBidi"/>
          <w:bCs/>
        </w:rPr>
        <w:t>ese</w:t>
      </w:r>
      <w:r w:rsidR="00936B90">
        <w:rPr>
          <w:rFonts w:asciiTheme="majorBidi" w:hAnsiTheme="majorBidi" w:cstheme="majorBidi"/>
          <w:bCs/>
        </w:rPr>
        <w:t xml:space="preserve"> options</w:t>
      </w:r>
      <w:r w:rsidR="00EE6B3D">
        <w:rPr>
          <w:rFonts w:asciiTheme="majorBidi" w:hAnsiTheme="majorBidi" w:cstheme="majorBidi"/>
          <w:bCs/>
        </w:rPr>
        <w:t>, refer to [2]</w:t>
      </w:r>
      <w:r w:rsidR="00936B90">
        <w:rPr>
          <w:rFonts w:asciiTheme="majorBidi" w:hAnsiTheme="majorBidi" w:cstheme="majorBidi"/>
          <w:bCs/>
        </w:rPr>
        <w:t xml:space="preserve">. </w:t>
      </w:r>
      <w:r w:rsidR="00EE6B3D">
        <w:rPr>
          <w:rFonts w:asciiTheme="majorBidi" w:hAnsiTheme="majorBidi" w:cstheme="majorBidi"/>
          <w:bCs/>
        </w:rPr>
        <w:t>In [2]</w:t>
      </w:r>
      <w:r w:rsidR="00936B90">
        <w:rPr>
          <w:rFonts w:asciiTheme="majorBidi" w:hAnsiTheme="majorBidi" w:cstheme="majorBidi"/>
          <w:bCs/>
        </w:rPr>
        <w:t xml:space="preserve">, we </w:t>
      </w:r>
      <w:r w:rsidR="00EE6B3D">
        <w:rPr>
          <w:rFonts w:asciiTheme="majorBidi" w:hAnsiTheme="majorBidi" w:cstheme="majorBidi"/>
          <w:bCs/>
        </w:rPr>
        <w:t>argue</w:t>
      </w:r>
      <w:r w:rsidR="00936B90">
        <w:rPr>
          <w:rFonts w:asciiTheme="majorBidi" w:hAnsiTheme="majorBidi" w:cstheme="majorBidi"/>
          <w:bCs/>
        </w:rPr>
        <w:t xml:space="preserve"> that </w:t>
      </w:r>
      <w:r w:rsidR="00936B90" w:rsidRPr="00936B90">
        <w:rPr>
          <w:szCs w:val="24"/>
          <w:lang w:val="en-GB"/>
        </w:rPr>
        <w:t>Option 4</w:t>
      </w:r>
      <w:r w:rsidR="00936B90">
        <w:rPr>
          <w:szCs w:val="24"/>
          <w:lang w:val="en-GB"/>
        </w:rPr>
        <w:t xml:space="preserve"> [1]</w:t>
      </w:r>
      <w:r w:rsidR="00936B90" w:rsidRPr="00936B90">
        <w:rPr>
          <w:szCs w:val="24"/>
          <w:lang w:val="en-GB"/>
        </w:rPr>
        <w:t xml:space="preserve"> provides a better commonality between the design of CG PUSCH and DG PUSCH</w:t>
      </w:r>
      <w:r w:rsidR="00936B90">
        <w:rPr>
          <w:rFonts w:asciiTheme="majorBidi" w:hAnsiTheme="majorBidi" w:cstheme="majorBidi"/>
          <w:bCs/>
        </w:rPr>
        <w:t xml:space="preserve">. The reason is that </w:t>
      </w:r>
      <w:r w:rsidR="00EE6B3D">
        <w:rPr>
          <w:rFonts w:asciiTheme="majorBidi" w:hAnsiTheme="majorBidi" w:cstheme="majorBidi"/>
          <w:bCs/>
        </w:rPr>
        <w:t>under</w:t>
      </w:r>
      <w:r w:rsidR="00936B90">
        <w:rPr>
          <w:rFonts w:asciiTheme="majorBidi" w:hAnsiTheme="majorBidi" w:cstheme="majorBidi"/>
          <w:bCs/>
        </w:rPr>
        <w:t xml:space="preserve"> Option 4</w:t>
      </w:r>
      <w:r w:rsidR="00EE6B3D">
        <w:rPr>
          <w:rFonts w:asciiTheme="majorBidi" w:hAnsiTheme="majorBidi" w:cstheme="majorBidi"/>
          <w:bCs/>
        </w:rPr>
        <w:t>,</w:t>
      </w:r>
      <w:r w:rsidR="00633BE3" w:rsidRPr="001B3C25">
        <w:rPr>
          <w:szCs w:val="24"/>
          <w:lang w:val="en-GB"/>
        </w:rPr>
        <w:t xml:space="preserve"> the actual repetitions can be obtained by </w:t>
      </w:r>
      <w:r w:rsidR="00633BE3">
        <w:rPr>
          <w:szCs w:val="24"/>
          <w:lang w:val="en-GB"/>
        </w:rPr>
        <w:t xml:space="preserve">the </w:t>
      </w:r>
      <w:r w:rsidR="00633BE3" w:rsidRPr="001B3C25">
        <w:rPr>
          <w:szCs w:val="24"/>
          <w:lang w:val="en-GB"/>
        </w:rPr>
        <w:t xml:space="preserve">UE based on the UL/DL direction of the symbols, </w:t>
      </w:r>
      <w:r w:rsidR="00936B90">
        <w:rPr>
          <w:szCs w:val="24"/>
          <w:lang w:val="en-GB"/>
        </w:rPr>
        <w:t>which is more desired especially</w:t>
      </w:r>
      <w:r w:rsidR="00633BE3">
        <w:rPr>
          <w:szCs w:val="24"/>
          <w:lang w:val="en-GB"/>
        </w:rPr>
        <w:t xml:space="preserve"> with</w:t>
      </w:r>
      <w:r w:rsidR="00633BE3" w:rsidRPr="001B3C25">
        <w:rPr>
          <w:szCs w:val="24"/>
          <w:lang w:val="en-GB"/>
        </w:rPr>
        <w:t xml:space="preserve"> ULCG</w:t>
      </w:r>
      <w:r w:rsidR="00633BE3">
        <w:rPr>
          <w:szCs w:val="24"/>
          <w:lang w:val="en-GB"/>
        </w:rPr>
        <w:t xml:space="preserve">. </w:t>
      </w:r>
      <w:r w:rsidR="00EE6B3D">
        <w:rPr>
          <w:szCs w:val="24"/>
          <w:lang w:val="en-GB"/>
        </w:rPr>
        <w:t>However, under</w:t>
      </w:r>
      <w:r w:rsidR="00633BE3">
        <w:rPr>
          <w:szCs w:val="24"/>
          <w:lang w:val="en-GB"/>
        </w:rPr>
        <w:t xml:space="preserve"> Option 6, </w:t>
      </w:r>
      <w:r w:rsidR="00EE6B3D">
        <w:rPr>
          <w:szCs w:val="24"/>
          <w:lang w:val="en-GB"/>
        </w:rPr>
        <w:t xml:space="preserve">the </w:t>
      </w:r>
      <w:r w:rsidR="00633BE3">
        <w:rPr>
          <w:szCs w:val="24"/>
          <w:lang w:val="en-GB"/>
        </w:rPr>
        <w:t xml:space="preserve">time domain allocation for all the repetitions </w:t>
      </w:r>
      <w:proofErr w:type="gramStart"/>
      <w:r w:rsidR="00633BE3">
        <w:rPr>
          <w:szCs w:val="24"/>
          <w:lang w:val="en-GB"/>
        </w:rPr>
        <w:t>has to</w:t>
      </w:r>
      <w:proofErr w:type="gramEnd"/>
      <w:r w:rsidR="00633BE3">
        <w:rPr>
          <w:szCs w:val="24"/>
          <w:lang w:val="en-GB"/>
        </w:rPr>
        <w:t xml:space="preserve"> meet the UL/DL symbol directions within configured grant Type 1 or Type 2. </w:t>
      </w:r>
    </w:p>
    <w:p w14:paraId="591EDDA7" w14:textId="469CD395" w:rsidR="00633BE3" w:rsidRDefault="00633BE3" w:rsidP="00633BE3">
      <w:pPr>
        <w:jc w:val="both"/>
        <w:rPr>
          <w:rFonts w:asciiTheme="majorBidi" w:hAnsiTheme="majorBidi" w:cstheme="majorBidi"/>
          <w:b/>
          <w:bCs/>
          <w:szCs w:val="24"/>
          <w:lang w:val="en-GB"/>
        </w:rPr>
      </w:pPr>
      <w:r>
        <w:rPr>
          <w:b/>
          <w:szCs w:val="24"/>
          <w:lang w:val="en-GB"/>
        </w:rPr>
        <w:t xml:space="preserve">Observation </w:t>
      </w:r>
      <w:r w:rsidR="00936B90">
        <w:rPr>
          <w:b/>
          <w:szCs w:val="24"/>
          <w:lang w:val="en-GB"/>
        </w:rPr>
        <w:t>1</w:t>
      </w:r>
      <w:r w:rsidRPr="00362A96">
        <w:rPr>
          <w:b/>
          <w:szCs w:val="24"/>
          <w:lang w:val="en-GB"/>
        </w:rPr>
        <w:t xml:space="preserve">: </w:t>
      </w:r>
      <w:r>
        <w:rPr>
          <w:b/>
          <w:szCs w:val="24"/>
          <w:lang w:val="en-GB"/>
        </w:rPr>
        <w:t xml:space="preserve">Option 4 </w:t>
      </w:r>
      <w:r w:rsidR="00936B90">
        <w:rPr>
          <w:b/>
          <w:szCs w:val="24"/>
          <w:lang w:val="en-GB"/>
        </w:rPr>
        <w:t xml:space="preserve">in [1] </w:t>
      </w:r>
      <w:r>
        <w:rPr>
          <w:b/>
          <w:szCs w:val="24"/>
          <w:lang w:val="en-GB"/>
        </w:rPr>
        <w:t>provides a better commonality between the design of CG PUSCH and DG PUSCH.</w:t>
      </w:r>
    </w:p>
    <w:p w14:paraId="2F11133D" w14:textId="3E347C36" w:rsidR="00936B90" w:rsidRDefault="0061634A" w:rsidP="0061634A">
      <w:pPr>
        <w:jc w:val="both"/>
        <w:rPr>
          <w:rFonts w:asciiTheme="majorBidi" w:hAnsiTheme="majorBidi" w:cstheme="majorBidi"/>
          <w:bCs/>
          <w:szCs w:val="24"/>
        </w:rPr>
      </w:pPr>
      <w:r>
        <w:rPr>
          <w:rFonts w:asciiTheme="majorBidi" w:hAnsiTheme="majorBidi" w:cstheme="majorBidi"/>
          <w:bCs/>
          <w:szCs w:val="24"/>
        </w:rPr>
        <w:t xml:space="preserve">While multiple active configuration for UL CG per BWP is agreed in RAN1 #95, the </w:t>
      </w:r>
      <w:proofErr w:type="spellStart"/>
      <w:r>
        <w:rPr>
          <w:rFonts w:asciiTheme="majorBidi" w:hAnsiTheme="majorBidi" w:cstheme="majorBidi"/>
          <w:bCs/>
          <w:szCs w:val="24"/>
        </w:rPr>
        <w:t>specificication</w:t>
      </w:r>
      <w:proofErr w:type="spellEnd"/>
      <w:r>
        <w:rPr>
          <w:rFonts w:asciiTheme="majorBidi" w:hAnsiTheme="majorBidi" w:cstheme="majorBidi"/>
          <w:bCs/>
          <w:szCs w:val="24"/>
        </w:rPr>
        <w:t xml:space="preserve"> impact</w:t>
      </w:r>
      <w:r w:rsidR="00EE6B3D">
        <w:rPr>
          <w:rFonts w:asciiTheme="majorBidi" w:hAnsiTheme="majorBidi" w:cstheme="majorBidi"/>
          <w:bCs/>
          <w:szCs w:val="24"/>
        </w:rPr>
        <w:t>, e.g.,</w:t>
      </w:r>
      <w:r>
        <w:rPr>
          <w:rFonts w:asciiTheme="majorBidi" w:hAnsiTheme="majorBidi" w:cstheme="majorBidi"/>
          <w:bCs/>
          <w:szCs w:val="24"/>
        </w:rPr>
        <w:t xml:space="preserve"> the activation/release </w:t>
      </w:r>
      <w:proofErr w:type="spellStart"/>
      <w:r>
        <w:rPr>
          <w:rFonts w:asciiTheme="majorBidi" w:hAnsiTheme="majorBidi" w:cstheme="majorBidi"/>
          <w:bCs/>
          <w:szCs w:val="24"/>
        </w:rPr>
        <w:t>mechanisem</w:t>
      </w:r>
      <w:proofErr w:type="spellEnd"/>
      <w:r>
        <w:rPr>
          <w:rFonts w:asciiTheme="majorBidi" w:hAnsiTheme="majorBidi" w:cstheme="majorBidi"/>
          <w:bCs/>
          <w:szCs w:val="24"/>
        </w:rPr>
        <w:t xml:space="preserve"> at least for Type 2</w:t>
      </w:r>
      <w:r w:rsidR="00EE6B3D">
        <w:rPr>
          <w:rFonts w:asciiTheme="majorBidi" w:hAnsiTheme="majorBidi" w:cstheme="majorBidi"/>
          <w:bCs/>
          <w:szCs w:val="24"/>
        </w:rPr>
        <w:t>,</w:t>
      </w:r>
      <w:r>
        <w:rPr>
          <w:rFonts w:asciiTheme="majorBidi" w:hAnsiTheme="majorBidi" w:cstheme="majorBidi"/>
          <w:bCs/>
          <w:szCs w:val="24"/>
        </w:rPr>
        <w:t xml:space="preserve"> still needs to be further </w:t>
      </w:r>
      <w:r w:rsidR="00EE6B3D">
        <w:rPr>
          <w:rFonts w:asciiTheme="majorBidi" w:hAnsiTheme="majorBidi" w:cstheme="majorBidi"/>
          <w:bCs/>
          <w:szCs w:val="24"/>
        </w:rPr>
        <w:t>discussed</w:t>
      </w:r>
      <w:r>
        <w:rPr>
          <w:rFonts w:asciiTheme="majorBidi" w:hAnsiTheme="majorBidi" w:cstheme="majorBidi"/>
          <w:bCs/>
          <w:szCs w:val="24"/>
        </w:rPr>
        <w:t xml:space="preserve">. In the </w:t>
      </w:r>
      <w:r w:rsidR="00EE6B3D">
        <w:rPr>
          <w:rFonts w:asciiTheme="majorBidi" w:hAnsiTheme="majorBidi" w:cstheme="majorBidi"/>
          <w:bCs/>
          <w:szCs w:val="24"/>
        </w:rPr>
        <w:t>remainder of this section,</w:t>
      </w:r>
      <w:r>
        <w:rPr>
          <w:rFonts w:asciiTheme="majorBidi" w:hAnsiTheme="majorBidi" w:cstheme="majorBidi"/>
          <w:bCs/>
          <w:szCs w:val="24"/>
        </w:rPr>
        <w:t xml:space="preserve"> we share our viewpoint regarding that issue</w:t>
      </w:r>
      <w:r w:rsidR="00EE6B3D">
        <w:rPr>
          <w:rFonts w:asciiTheme="majorBidi" w:hAnsiTheme="majorBidi" w:cstheme="majorBidi"/>
          <w:bCs/>
          <w:szCs w:val="24"/>
        </w:rPr>
        <w:t>.</w:t>
      </w:r>
    </w:p>
    <w:p w14:paraId="5024EF9A" w14:textId="1DB7ECC7" w:rsidR="00326181" w:rsidRPr="0061634A" w:rsidRDefault="00326181" w:rsidP="00D21E5A">
      <w:pPr>
        <w:jc w:val="both"/>
        <w:rPr>
          <w:rFonts w:asciiTheme="majorBidi" w:hAnsiTheme="majorBidi" w:cstheme="majorBidi"/>
          <w:bCs/>
          <w:szCs w:val="24"/>
        </w:rPr>
      </w:pPr>
      <w:r w:rsidRPr="00326181">
        <w:rPr>
          <w:rFonts w:asciiTheme="majorBidi" w:hAnsiTheme="majorBidi" w:cstheme="majorBidi"/>
          <w:bCs/>
          <w:szCs w:val="24"/>
        </w:rPr>
        <w:t>Different service/traffic types, in general, require different independent CG configurations. For example, MCS, resource allocation (in time/freq.), TB size, periodicity, offset, number of repetitions, etc</w:t>
      </w:r>
      <w:r w:rsidR="00EE6B3D">
        <w:rPr>
          <w:rFonts w:asciiTheme="majorBidi" w:hAnsiTheme="majorBidi" w:cstheme="majorBidi"/>
          <w:bCs/>
          <w:szCs w:val="24"/>
        </w:rPr>
        <w:t>.</w:t>
      </w:r>
      <w:r w:rsidRPr="00326181">
        <w:rPr>
          <w:rFonts w:asciiTheme="majorBidi" w:hAnsiTheme="majorBidi" w:cstheme="majorBidi"/>
          <w:bCs/>
          <w:szCs w:val="24"/>
        </w:rPr>
        <w:t xml:space="preserve"> can be different in CG configurations corresponding to different service types. In this case, independent CG activations seems more reasonable</w:t>
      </w:r>
      <w:r w:rsidR="0061634A">
        <w:rPr>
          <w:rFonts w:asciiTheme="majorBidi" w:hAnsiTheme="majorBidi" w:cstheme="majorBidi"/>
          <w:bCs/>
          <w:szCs w:val="24"/>
        </w:rPr>
        <w:t xml:space="preserve">. </w:t>
      </w:r>
      <w:r w:rsidR="00EE6B3D">
        <w:rPr>
          <w:rFonts w:asciiTheme="majorBidi" w:hAnsiTheme="majorBidi" w:cstheme="majorBidi"/>
          <w:bCs/>
          <w:szCs w:val="24"/>
        </w:rPr>
        <w:t xml:space="preserve">Further, the </w:t>
      </w:r>
      <w:r w:rsidRPr="0061634A">
        <w:rPr>
          <w:rFonts w:asciiTheme="majorBidi" w:hAnsiTheme="majorBidi" w:cstheme="majorBidi"/>
          <w:bCs/>
          <w:szCs w:val="24"/>
        </w:rPr>
        <w:t>Rel-15</w:t>
      </w:r>
      <w:r w:rsidR="00EE6B3D">
        <w:rPr>
          <w:rFonts w:asciiTheme="majorBidi" w:hAnsiTheme="majorBidi" w:cstheme="majorBidi"/>
          <w:bCs/>
          <w:szCs w:val="24"/>
        </w:rPr>
        <w:t xml:space="preserve"> approach</w:t>
      </w:r>
      <w:r w:rsidRPr="0061634A">
        <w:rPr>
          <w:rFonts w:asciiTheme="majorBidi" w:hAnsiTheme="majorBidi" w:cstheme="majorBidi"/>
          <w:bCs/>
          <w:szCs w:val="24"/>
        </w:rPr>
        <w:t xml:space="preserve"> can be adopted to design the activation DCI</w:t>
      </w:r>
      <w:r w:rsidR="00EE6B3D">
        <w:rPr>
          <w:rFonts w:asciiTheme="majorBidi" w:hAnsiTheme="majorBidi" w:cstheme="majorBidi"/>
          <w:bCs/>
          <w:szCs w:val="24"/>
        </w:rPr>
        <w:t xml:space="preserve">; </w:t>
      </w:r>
      <w:r w:rsidRPr="0061634A">
        <w:rPr>
          <w:rFonts w:asciiTheme="majorBidi" w:hAnsiTheme="majorBidi" w:cstheme="majorBidi"/>
          <w:bCs/>
          <w:szCs w:val="24"/>
        </w:rPr>
        <w:t xml:space="preserve">each CG configuration can be associated </w:t>
      </w:r>
      <w:r w:rsidR="00EE6B3D">
        <w:rPr>
          <w:rFonts w:asciiTheme="majorBidi" w:hAnsiTheme="majorBidi" w:cstheme="majorBidi"/>
          <w:bCs/>
          <w:szCs w:val="24"/>
        </w:rPr>
        <w:t>with</w:t>
      </w:r>
      <w:r w:rsidRPr="0061634A">
        <w:rPr>
          <w:rFonts w:asciiTheme="majorBidi" w:hAnsiTheme="majorBidi" w:cstheme="majorBidi"/>
          <w:bCs/>
          <w:szCs w:val="24"/>
        </w:rPr>
        <w:t xml:space="preserve"> an index</w:t>
      </w:r>
      <w:r w:rsidR="00EE6B3D">
        <w:rPr>
          <w:rFonts w:asciiTheme="majorBidi" w:hAnsiTheme="majorBidi" w:cstheme="majorBidi"/>
          <w:bCs/>
          <w:szCs w:val="24"/>
        </w:rPr>
        <w:t>,</w:t>
      </w:r>
      <w:r w:rsidRPr="0061634A">
        <w:rPr>
          <w:rFonts w:asciiTheme="majorBidi" w:hAnsiTheme="majorBidi" w:cstheme="majorBidi"/>
          <w:bCs/>
          <w:szCs w:val="24"/>
        </w:rPr>
        <w:t xml:space="preserve"> and the index is signaled in DCI</w:t>
      </w:r>
      <w:r w:rsidR="00EE6B3D">
        <w:rPr>
          <w:rFonts w:asciiTheme="majorBidi" w:hAnsiTheme="majorBidi" w:cstheme="majorBidi"/>
          <w:bCs/>
          <w:szCs w:val="24"/>
        </w:rPr>
        <w:t>.</w:t>
      </w:r>
    </w:p>
    <w:p w14:paraId="3408D2B1" w14:textId="34036297" w:rsidR="00326181" w:rsidRPr="0061634A" w:rsidRDefault="0061634A" w:rsidP="0061634A">
      <w:pPr>
        <w:jc w:val="both"/>
        <w:rPr>
          <w:rFonts w:asciiTheme="majorBidi" w:hAnsiTheme="majorBidi" w:cstheme="majorBidi"/>
          <w:bCs/>
          <w:szCs w:val="24"/>
        </w:rPr>
      </w:pPr>
      <w:r>
        <w:rPr>
          <w:rFonts w:asciiTheme="majorBidi" w:hAnsiTheme="majorBidi" w:cstheme="majorBidi"/>
          <w:bCs/>
          <w:szCs w:val="24"/>
        </w:rPr>
        <w:t>On the other hand, f</w:t>
      </w:r>
      <w:r w:rsidR="00326181" w:rsidRPr="0061634A">
        <w:rPr>
          <w:rFonts w:asciiTheme="majorBidi" w:hAnsiTheme="majorBidi" w:cstheme="majorBidi"/>
          <w:bCs/>
          <w:szCs w:val="24"/>
        </w:rPr>
        <w:t xml:space="preserve">or the </w:t>
      </w:r>
      <w:r>
        <w:rPr>
          <w:rFonts w:asciiTheme="majorBidi" w:hAnsiTheme="majorBidi" w:cstheme="majorBidi"/>
          <w:bCs/>
          <w:szCs w:val="24"/>
        </w:rPr>
        <w:t>same service type and to</w:t>
      </w:r>
      <w:r w:rsidR="00326181" w:rsidRPr="0061634A">
        <w:rPr>
          <w:rFonts w:asciiTheme="majorBidi" w:hAnsiTheme="majorBidi" w:cstheme="majorBidi"/>
          <w:bCs/>
          <w:szCs w:val="24"/>
        </w:rPr>
        <w:t xml:space="preserve"> improve reliability and reduc</w:t>
      </w:r>
      <w:r>
        <w:rPr>
          <w:rFonts w:asciiTheme="majorBidi" w:hAnsiTheme="majorBidi" w:cstheme="majorBidi"/>
          <w:bCs/>
          <w:szCs w:val="24"/>
        </w:rPr>
        <w:t>e</w:t>
      </w:r>
      <w:r w:rsidR="00326181" w:rsidRPr="0061634A">
        <w:rPr>
          <w:rFonts w:asciiTheme="majorBidi" w:hAnsiTheme="majorBidi" w:cstheme="majorBidi"/>
          <w:bCs/>
          <w:szCs w:val="24"/>
        </w:rPr>
        <w:t xml:space="preserve"> latency, multiple active CG configurations may have the same parameters unless different active CG configurations may be associated with different (1)</w:t>
      </w:r>
      <w:r w:rsidR="00BF027D">
        <w:rPr>
          <w:rFonts w:asciiTheme="majorBidi" w:hAnsiTheme="majorBidi" w:cstheme="majorBidi"/>
          <w:bCs/>
          <w:szCs w:val="24"/>
        </w:rPr>
        <w:t xml:space="preserve"> </w:t>
      </w:r>
      <w:r w:rsidR="00326181" w:rsidRPr="0061634A">
        <w:rPr>
          <w:rFonts w:asciiTheme="majorBidi" w:hAnsiTheme="majorBidi" w:cstheme="majorBidi"/>
          <w:bCs/>
          <w:szCs w:val="24"/>
        </w:rPr>
        <w:t>offsets, (2)</w:t>
      </w:r>
      <w:r w:rsidR="00BF027D">
        <w:rPr>
          <w:rFonts w:asciiTheme="majorBidi" w:hAnsiTheme="majorBidi" w:cstheme="majorBidi"/>
          <w:bCs/>
          <w:szCs w:val="24"/>
        </w:rPr>
        <w:t xml:space="preserve"> </w:t>
      </w:r>
      <w:r w:rsidR="00326181" w:rsidRPr="0061634A">
        <w:rPr>
          <w:rFonts w:asciiTheme="majorBidi" w:hAnsiTheme="majorBidi" w:cstheme="majorBidi"/>
          <w:bCs/>
          <w:szCs w:val="24"/>
        </w:rPr>
        <w:t>different DMRS configurations, and (3)</w:t>
      </w:r>
      <w:r w:rsidR="00BF027D">
        <w:rPr>
          <w:rFonts w:asciiTheme="majorBidi" w:hAnsiTheme="majorBidi" w:cstheme="majorBidi"/>
          <w:bCs/>
          <w:szCs w:val="24"/>
        </w:rPr>
        <w:t xml:space="preserve"> </w:t>
      </w:r>
      <w:r w:rsidR="00326181" w:rsidRPr="0061634A">
        <w:rPr>
          <w:rFonts w:asciiTheme="majorBidi" w:hAnsiTheme="majorBidi" w:cstheme="majorBidi"/>
          <w:bCs/>
          <w:szCs w:val="24"/>
        </w:rPr>
        <w:t>different HARQ IDs</w:t>
      </w:r>
      <w:r>
        <w:rPr>
          <w:rFonts w:asciiTheme="majorBidi" w:hAnsiTheme="majorBidi" w:cstheme="majorBidi"/>
          <w:bCs/>
          <w:szCs w:val="24"/>
        </w:rPr>
        <w:t>. Here</w:t>
      </w:r>
      <w:r w:rsidR="00BF027D">
        <w:rPr>
          <w:rFonts w:asciiTheme="majorBidi" w:hAnsiTheme="majorBidi" w:cstheme="majorBidi"/>
          <w:bCs/>
          <w:szCs w:val="24"/>
        </w:rPr>
        <w:t>,</w:t>
      </w:r>
      <w:r>
        <w:rPr>
          <w:rFonts w:asciiTheme="majorBidi" w:hAnsiTheme="majorBidi" w:cstheme="majorBidi"/>
          <w:bCs/>
          <w:szCs w:val="24"/>
        </w:rPr>
        <w:t xml:space="preserve"> it should be note that:</w:t>
      </w:r>
    </w:p>
    <w:p w14:paraId="31DED59C" w14:textId="22DB9F15" w:rsidR="0061634A" w:rsidRDefault="00326181" w:rsidP="0061634A">
      <w:pPr>
        <w:pStyle w:val="ListParagraph"/>
        <w:numPr>
          <w:ilvl w:val="0"/>
          <w:numId w:val="18"/>
        </w:numPr>
        <w:jc w:val="both"/>
        <w:rPr>
          <w:rFonts w:asciiTheme="majorBidi" w:eastAsia="SimSun" w:hAnsiTheme="majorBidi" w:cstheme="majorBidi"/>
          <w:bCs/>
          <w:sz w:val="20"/>
          <w:szCs w:val="24"/>
        </w:rPr>
      </w:pPr>
      <w:r w:rsidRPr="00326181">
        <w:rPr>
          <w:rFonts w:asciiTheme="majorBidi" w:eastAsia="SimSun" w:hAnsiTheme="majorBidi" w:cstheme="majorBidi"/>
          <w:bCs/>
          <w:sz w:val="20"/>
          <w:szCs w:val="24"/>
        </w:rPr>
        <w:t xml:space="preserve">Even for this use-case, we can have different CG configurations with different MCS, RB allocation, </w:t>
      </w:r>
      <w:proofErr w:type="spellStart"/>
      <w:r w:rsidRPr="00326181">
        <w:rPr>
          <w:rFonts w:asciiTheme="majorBidi" w:eastAsia="SimSun" w:hAnsiTheme="majorBidi" w:cstheme="majorBidi"/>
          <w:bCs/>
          <w:sz w:val="20"/>
          <w:szCs w:val="24"/>
        </w:rPr>
        <w:t>etc</w:t>
      </w:r>
      <w:proofErr w:type="spellEnd"/>
      <w:r w:rsidRPr="00326181">
        <w:rPr>
          <w:rFonts w:asciiTheme="majorBidi" w:eastAsia="SimSun" w:hAnsiTheme="majorBidi" w:cstheme="majorBidi"/>
          <w:bCs/>
          <w:sz w:val="20"/>
          <w:szCs w:val="24"/>
        </w:rPr>
        <w:t xml:space="preserve">, but </w:t>
      </w:r>
      <w:proofErr w:type="gramStart"/>
      <w:r w:rsidRPr="00326181">
        <w:rPr>
          <w:rFonts w:asciiTheme="majorBidi" w:eastAsia="SimSun" w:hAnsiTheme="majorBidi" w:cstheme="majorBidi"/>
          <w:bCs/>
          <w:sz w:val="20"/>
          <w:szCs w:val="24"/>
        </w:rPr>
        <w:t>as long as</w:t>
      </w:r>
      <w:proofErr w:type="gramEnd"/>
      <w:r w:rsidRPr="00326181">
        <w:rPr>
          <w:rFonts w:asciiTheme="majorBidi" w:eastAsia="SimSun" w:hAnsiTheme="majorBidi" w:cstheme="majorBidi"/>
          <w:bCs/>
          <w:sz w:val="20"/>
          <w:szCs w:val="24"/>
        </w:rPr>
        <w:t xml:space="preserve"> it is related to aligning latency and ensuring the reliability, it is good enough to have multiple active CG configurations with different offsets and DMRS configurations</w:t>
      </w:r>
      <w:r w:rsidR="00BF027D">
        <w:rPr>
          <w:rFonts w:asciiTheme="majorBidi" w:eastAsia="SimSun" w:hAnsiTheme="majorBidi" w:cstheme="majorBidi"/>
          <w:bCs/>
          <w:sz w:val="20"/>
          <w:szCs w:val="24"/>
        </w:rPr>
        <w:t>.</w:t>
      </w:r>
      <w:r w:rsidRPr="00326181">
        <w:rPr>
          <w:rFonts w:asciiTheme="majorBidi" w:eastAsia="SimSun" w:hAnsiTheme="majorBidi" w:cstheme="majorBidi"/>
          <w:bCs/>
          <w:sz w:val="20"/>
          <w:szCs w:val="24"/>
        </w:rPr>
        <w:t xml:space="preserve"> </w:t>
      </w:r>
    </w:p>
    <w:p w14:paraId="16DFE7FD" w14:textId="00EA0719" w:rsidR="00326181" w:rsidRPr="0061634A" w:rsidRDefault="00BF027D" w:rsidP="0061634A">
      <w:pPr>
        <w:pStyle w:val="ListParagraph"/>
        <w:numPr>
          <w:ilvl w:val="0"/>
          <w:numId w:val="18"/>
        </w:numPr>
        <w:jc w:val="both"/>
        <w:rPr>
          <w:rFonts w:asciiTheme="majorBidi" w:eastAsia="SimSun" w:hAnsiTheme="majorBidi" w:cstheme="majorBidi"/>
          <w:bCs/>
          <w:sz w:val="20"/>
          <w:szCs w:val="24"/>
        </w:rPr>
      </w:pPr>
      <w:proofErr w:type="gramStart"/>
      <w:r>
        <w:rPr>
          <w:rFonts w:asciiTheme="majorBidi" w:eastAsia="SimSun" w:hAnsiTheme="majorBidi" w:cstheme="majorBidi"/>
          <w:bCs/>
          <w:sz w:val="20"/>
          <w:szCs w:val="24"/>
        </w:rPr>
        <w:t>A</w:t>
      </w:r>
      <w:r w:rsidR="00326181" w:rsidRPr="0061634A">
        <w:rPr>
          <w:rFonts w:asciiTheme="majorBidi" w:eastAsia="SimSun" w:hAnsiTheme="majorBidi" w:cstheme="majorBidi"/>
          <w:bCs/>
          <w:sz w:val="20"/>
          <w:szCs w:val="24"/>
        </w:rPr>
        <w:t>ssuming that</w:t>
      </w:r>
      <w:proofErr w:type="gramEnd"/>
      <w:r w:rsidR="00326181" w:rsidRPr="0061634A">
        <w:rPr>
          <w:rFonts w:asciiTheme="majorBidi" w:eastAsia="SimSun" w:hAnsiTheme="majorBidi" w:cstheme="majorBidi"/>
          <w:bCs/>
          <w:sz w:val="20"/>
          <w:szCs w:val="24"/>
        </w:rPr>
        <w:t xml:space="preserve"> different configurations would have many common parameters, a single DCI may activate all the CG configurations</w:t>
      </w:r>
      <w:r>
        <w:rPr>
          <w:rFonts w:asciiTheme="majorBidi" w:eastAsia="SimSun" w:hAnsiTheme="majorBidi" w:cstheme="majorBidi"/>
          <w:bCs/>
          <w:sz w:val="20"/>
          <w:szCs w:val="24"/>
        </w:rPr>
        <w:t>:</w:t>
      </w:r>
    </w:p>
    <w:p w14:paraId="26D3A2FD" w14:textId="04AE94DF" w:rsidR="00326181" w:rsidRPr="00326181" w:rsidRDefault="00326181" w:rsidP="0061634A">
      <w:pPr>
        <w:pStyle w:val="ListParagraph"/>
        <w:numPr>
          <w:ilvl w:val="1"/>
          <w:numId w:val="15"/>
        </w:numPr>
        <w:jc w:val="both"/>
        <w:rPr>
          <w:rFonts w:asciiTheme="majorBidi" w:eastAsia="SimSun" w:hAnsiTheme="majorBidi" w:cstheme="majorBidi"/>
          <w:bCs/>
          <w:sz w:val="20"/>
          <w:szCs w:val="24"/>
        </w:rPr>
      </w:pPr>
      <w:r w:rsidRPr="00326181">
        <w:rPr>
          <w:rFonts w:asciiTheme="majorBidi" w:eastAsia="SimSun" w:hAnsiTheme="majorBidi" w:cstheme="majorBidi"/>
          <w:bCs/>
          <w:sz w:val="20"/>
          <w:szCs w:val="24"/>
        </w:rPr>
        <w:t>Such a DCI would need a bitmap to the size of number of configurations to indicate which configurations are activated</w:t>
      </w:r>
      <w:r w:rsidR="00BF027D">
        <w:rPr>
          <w:rFonts w:asciiTheme="majorBidi" w:eastAsia="SimSun" w:hAnsiTheme="majorBidi" w:cstheme="majorBidi"/>
          <w:bCs/>
          <w:sz w:val="20"/>
          <w:szCs w:val="24"/>
        </w:rPr>
        <w:t>.</w:t>
      </w:r>
    </w:p>
    <w:p w14:paraId="202081BA" w14:textId="2D1F09CF" w:rsidR="00326181" w:rsidRPr="00326181" w:rsidRDefault="00326181" w:rsidP="0061634A">
      <w:pPr>
        <w:pStyle w:val="ListParagraph"/>
        <w:numPr>
          <w:ilvl w:val="1"/>
          <w:numId w:val="15"/>
        </w:numPr>
        <w:jc w:val="both"/>
        <w:rPr>
          <w:rFonts w:asciiTheme="majorBidi" w:eastAsia="SimSun" w:hAnsiTheme="majorBidi" w:cstheme="majorBidi"/>
          <w:bCs/>
          <w:sz w:val="20"/>
          <w:szCs w:val="24"/>
        </w:rPr>
      </w:pPr>
      <w:r w:rsidRPr="00326181">
        <w:rPr>
          <w:rFonts w:asciiTheme="majorBidi" w:eastAsia="SimSun" w:hAnsiTheme="majorBidi" w:cstheme="majorBidi"/>
          <w:bCs/>
          <w:sz w:val="20"/>
          <w:szCs w:val="24"/>
        </w:rPr>
        <w:t xml:space="preserve">The benefit of single activation DCI is lower PDCCH overhead at the cost of limited flexibility since most of the parameters of different configuration </w:t>
      </w:r>
      <w:proofErr w:type="gramStart"/>
      <w:r w:rsidRPr="00326181">
        <w:rPr>
          <w:rFonts w:asciiTheme="majorBidi" w:eastAsia="SimSun" w:hAnsiTheme="majorBidi" w:cstheme="majorBidi"/>
          <w:bCs/>
          <w:sz w:val="20"/>
          <w:szCs w:val="24"/>
        </w:rPr>
        <w:t>has to</w:t>
      </w:r>
      <w:proofErr w:type="gramEnd"/>
      <w:r w:rsidRPr="00326181">
        <w:rPr>
          <w:rFonts w:asciiTheme="majorBidi" w:eastAsia="SimSun" w:hAnsiTheme="majorBidi" w:cstheme="majorBidi"/>
          <w:bCs/>
          <w:sz w:val="20"/>
          <w:szCs w:val="24"/>
        </w:rPr>
        <w:t xml:space="preserve"> be RRC configured</w:t>
      </w:r>
      <w:r w:rsidR="00BF027D">
        <w:rPr>
          <w:rFonts w:asciiTheme="majorBidi" w:eastAsia="SimSun" w:hAnsiTheme="majorBidi" w:cstheme="majorBidi"/>
          <w:bCs/>
          <w:sz w:val="20"/>
          <w:szCs w:val="24"/>
        </w:rPr>
        <w:t>.</w:t>
      </w:r>
    </w:p>
    <w:p w14:paraId="6352D79C" w14:textId="030588B9" w:rsidR="00BF027D" w:rsidRDefault="00326181">
      <w:pPr>
        <w:pStyle w:val="ListParagraph"/>
        <w:numPr>
          <w:ilvl w:val="0"/>
          <w:numId w:val="20"/>
        </w:numPr>
        <w:jc w:val="both"/>
        <w:rPr>
          <w:rFonts w:asciiTheme="majorBidi" w:eastAsia="SimSun" w:hAnsiTheme="majorBidi" w:cstheme="majorBidi"/>
          <w:bCs/>
          <w:sz w:val="20"/>
          <w:szCs w:val="24"/>
        </w:rPr>
      </w:pPr>
      <w:r w:rsidRPr="00BF027D">
        <w:rPr>
          <w:rFonts w:asciiTheme="majorBidi" w:hAnsiTheme="majorBidi" w:cstheme="majorBidi"/>
          <w:bCs/>
          <w:szCs w:val="24"/>
        </w:rPr>
        <w:t xml:space="preserve">Since activation does not happen frequently, thus PDCCH overhead is not a </w:t>
      </w:r>
      <w:r w:rsidR="00BF027D" w:rsidRPr="00BF027D">
        <w:rPr>
          <w:rFonts w:asciiTheme="majorBidi" w:hAnsiTheme="majorBidi" w:cstheme="majorBidi"/>
          <w:bCs/>
          <w:szCs w:val="24"/>
        </w:rPr>
        <w:t xml:space="preserve">major </w:t>
      </w:r>
      <w:r w:rsidRPr="00BF027D">
        <w:rPr>
          <w:rFonts w:asciiTheme="majorBidi" w:hAnsiTheme="majorBidi" w:cstheme="majorBidi"/>
          <w:bCs/>
          <w:szCs w:val="24"/>
        </w:rPr>
        <w:t xml:space="preserve">issue. </w:t>
      </w:r>
    </w:p>
    <w:p w14:paraId="7FD4648E" w14:textId="77777777" w:rsidR="00E259DB" w:rsidRPr="00D21E5A" w:rsidRDefault="00E259DB" w:rsidP="00D21E5A">
      <w:pPr>
        <w:pStyle w:val="ListParagraph"/>
        <w:ind w:left="648"/>
        <w:jc w:val="both"/>
        <w:rPr>
          <w:rFonts w:asciiTheme="majorBidi" w:hAnsiTheme="majorBidi" w:cstheme="majorBidi"/>
          <w:bCs/>
          <w:szCs w:val="24"/>
        </w:rPr>
      </w:pPr>
    </w:p>
    <w:p w14:paraId="47B61D88" w14:textId="4875F601" w:rsidR="00E259DB" w:rsidRDefault="00E259DB" w:rsidP="00362A26">
      <w:pPr>
        <w:jc w:val="both"/>
        <w:rPr>
          <w:rFonts w:asciiTheme="majorBidi" w:hAnsiTheme="majorBidi" w:cstheme="majorBidi"/>
          <w:b/>
          <w:bCs/>
          <w:szCs w:val="24"/>
        </w:rPr>
      </w:pPr>
      <w:r w:rsidRPr="00E259DB">
        <w:rPr>
          <w:rFonts w:asciiTheme="majorBidi" w:hAnsiTheme="majorBidi" w:cstheme="majorBidi"/>
          <w:b/>
          <w:bCs/>
          <w:szCs w:val="24"/>
        </w:rPr>
        <w:t xml:space="preserve">Proposal 1: </w:t>
      </w:r>
      <w:r w:rsidR="00BF027D">
        <w:rPr>
          <w:rFonts w:asciiTheme="majorBidi" w:hAnsiTheme="majorBidi" w:cstheme="majorBidi"/>
          <w:b/>
          <w:bCs/>
          <w:szCs w:val="24"/>
        </w:rPr>
        <w:t>In Rel. 16, if a UE supports multiple Type-2 active CG configurations per BWP, each CG configuration is activated independently via a separate DCI.</w:t>
      </w:r>
    </w:p>
    <w:p w14:paraId="25D12484" w14:textId="5DE1B7AA" w:rsidR="00326181" w:rsidRDefault="00326181" w:rsidP="00E259DB">
      <w:pPr>
        <w:jc w:val="both"/>
        <w:rPr>
          <w:rFonts w:asciiTheme="majorBidi" w:hAnsiTheme="majorBidi" w:cstheme="majorBidi"/>
          <w:bCs/>
          <w:szCs w:val="24"/>
        </w:rPr>
      </w:pPr>
      <w:r w:rsidRPr="00E259DB">
        <w:rPr>
          <w:rFonts w:asciiTheme="majorBidi" w:hAnsiTheme="majorBidi" w:cstheme="majorBidi"/>
          <w:bCs/>
          <w:szCs w:val="24"/>
        </w:rPr>
        <w:t xml:space="preserve">To release </w:t>
      </w:r>
      <w:r w:rsidR="006E5C69">
        <w:rPr>
          <w:rFonts w:asciiTheme="majorBidi" w:hAnsiTheme="majorBidi" w:cstheme="majorBidi"/>
          <w:bCs/>
          <w:szCs w:val="24"/>
        </w:rPr>
        <w:t xml:space="preserve">the </w:t>
      </w:r>
      <w:r w:rsidRPr="00E259DB">
        <w:rPr>
          <w:rFonts w:asciiTheme="majorBidi" w:hAnsiTheme="majorBidi" w:cstheme="majorBidi"/>
          <w:bCs/>
          <w:szCs w:val="24"/>
        </w:rPr>
        <w:t xml:space="preserve">CG configurations, </w:t>
      </w:r>
      <w:proofErr w:type="gramStart"/>
      <w:r w:rsidRPr="00E259DB">
        <w:rPr>
          <w:rFonts w:asciiTheme="majorBidi" w:hAnsiTheme="majorBidi" w:cstheme="majorBidi"/>
          <w:bCs/>
          <w:szCs w:val="24"/>
        </w:rPr>
        <w:t>as long as</w:t>
      </w:r>
      <w:proofErr w:type="gramEnd"/>
      <w:r w:rsidRPr="00E259DB">
        <w:rPr>
          <w:rFonts w:asciiTheme="majorBidi" w:hAnsiTheme="majorBidi" w:cstheme="majorBidi"/>
          <w:bCs/>
          <w:szCs w:val="24"/>
        </w:rPr>
        <w:t xml:space="preserve"> we can signal which CG configurations are released</w:t>
      </w:r>
      <w:r w:rsidR="006E5C69">
        <w:rPr>
          <w:rFonts w:asciiTheme="majorBidi" w:hAnsiTheme="majorBidi" w:cstheme="majorBidi"/>
          <w:bCs/>
          <w:szCs w:val="24"/>
        </w:rPr>
        <w:t>,</w:t>
      </w:r>
      <w:r w:rsidRPr="00E259DB">
        <w:rPr>
          <w:rFonts w:asciiTheme="majorBidi" w:hAnsiTheme="majorBidi" w:cstheme="majorBidi"/>
          <w:bCs/>
          <w:szCs w:val="24"/>
        </w:rPr>
        <w:t xml:space="preserve"> no further differentiation between the released CGs is needed</w:t>
      </w:r>
      <w:r w:rsidR="00E259DB">
        <w:rPr>
          <w:rFonts w:asciiTheme="majorBidi" w:hAnsiTheme="majorBidi" w:cstheme="majorBidi"/>
          <w:bCs/>
          <w:szCs w:val="24"/>
        </w:rPr>
        <w:t>. Thus</w:t>
      </w:r>
      <w:r w:rsidR="006E5C69">
        <w:rPr>
          <w:rFonts w:asciiTheme="majorBidi" w:hAnsiTheme="majorBidi" w:cstheme="majorBidi"/>
          <w:bCs/>
          <w:szCs w:val="24"/>
        </w:rPr>
        <w:t>,</w:t>
      </w:r>
      <w:r w:rsidRPr="00E259DB">
        <w:rPr>
          <w:rFonts w:asciiTheme="majorBidi" w:hAnsiTheme="majorBidi" w:cstheme="majorBidi"/>
          <w:bCs/>
          <w:szCs w:val="24"/>
        </w:rPr>
        <w:t xml:space="preserve"> </w:t>
      </w:r>
      <w:r w:rsidR="006E5C69">
        <w:rPr>
          <w:rFonts w:asciiTheme="majorBidi" w:hAnsiTheme="majorBidi" w:cstheme="majorBidi"/>
          <w:bCs/>
          <w:szCs w:val="24"/>
        </w:rPr>
        <w:t xml:space="preserve">a </w:t>
      </w:r>
      <w:r w:rsidRPr="00E259DB">
        <w:rPr>
          <w:rFonts w:asciiTheme="majorBidi" w:hAnsiTheme="majorBidi" w:cstheme="majorBidi"/>
          <w:bCs/>
          <w:szCs w:val="24"/>
        </w:rPr>
        <w:t xml:space="preserve">single DCI can be used with a bitmap to indicate which CG configurations are </w:t>
      </w:r>
      <w:r w:rsidR="006E5C69">
        <w:rPr>
          <w:rFonts w:asciiTheme="majorBidi" w:hAnsiTheme="majorBidi" w:cstheme="majorBidi"/>
          <w:bCs/>
          <w:szCs w:val="24"/>
        </w:rPr>
        <w:t xml:space="preserve">to be </w:t>
      </w:r>
      <w:proofErr w:type="spellStart"/>
      <w:r w:rsidR="006E5C69">
        <w:rPr>
          <w:rFonts w:asciiTheme="majorBidi" w:hAnsiTheme="majorBidi" w:cstheme="majorBidi"/>
          <w:bCs/>
          <w:szCs w:val="24"/>
        </w:rPr>
        <w:t>realeased</w:t>
      </w:r>
      <w:proofErr w:type="spellEnd"/>
      <w:r w:rsidR="00E259DB">
        <w:rPr>
          <w:rFonts w:asciiTheme="majorBidi" w:hAnsiTheme="majorBidi" w:cstheme="majorBidi"/>
          <w:bCs/>
          <w:szCs w:val="24"/>
        </w:rPr>
        <w:t xml:space="preserve">. </w:t>
      </w:r>
    </w:p>
    <w:p w14:paraId="2131EA14" w14:textId="33F6C4B8" w:rsidR="00AA2092" w:rsidRPr="00AA2092" w:rsidRDefault="00AA2092" w:rsidP="00AA2092">
      <w:pPr>
        <w:jc w:val="both"/>
        <w:rPr>
          <w:rFonts w:asciiTheme="majorBidi" w:hAnsiTheme="majorBidi" w:cstheme="majorBidi"/>
          <w:b/>
          <w:bCs/>
          <w:szCs w:val="24"/>
        </w:rPr>
      </w:pPr>
      <w:r w:rsidRPr="00A87BE6">
        <w:rPr>
          <w:rFonts w:asciiTheme="majorBidi" w:hAnsiTheme="majorBidi" w:cstheme="majorBidi"/>
          <w:b/>
          <w:bCs/>
          <w:szCs w:val="24"/>
        </w:rPr>
        <w:t xml:space="preserve">Proposal 2: </w:t>
      </w:r>
      <w:r w:rsidR="00071DB3">
        <w:rPr>
          <w:rFonts w:asciiTheme="majorBidi" w:hAnsiTheme="majorBidi" w:cstheme="majorBidi"/>
          <w:b/>
          <w:bCs/>
          <w:szCs w:val="24"/>
        </w:rPr>
        <w:t>In Rel. 16, if a UE supports multiple Type-2 active CG configurations per BWP,</w:t>
      </w:r>
      <w:r w:rsidR="00071DB3" w:rsidRPr="00A87BE6" w:rsidDel="00071DB3">
        <w:rPr>
          <w:rFonts w:asciiTheme="majorBidi" w:hAnsiTheme="majorBidi" w:cstheme="majorBidi"/>
          <w:b/>
          <w:bCs/>
          <w:szCs w:val="24"/>
        </w:rPr>
        <w:t xml:space="preserve"> </w:t>
      </w:r>
      <w:r w:rsidR="00071DB3">
        <w:rPr>
          <w:rFonts w:asciiTheme="majorBidi" w:hAnsiTheme="majorBidi" w:cstheme="majorBidi"/>
          <w:b/>
          <w:bCs/>
          <w:szCs w:val="24"/>
        </w:rPr>
        <w:t xml:space="preserve">a </w:t>
      </w:r>
      <w:r w:rsidR="004305B8" w:rsidRPr="00A87BE6">
        <w:rPr>
          <w:rFonts w:asciiTheme="majorBidi" w:hAnsiTheme="majorBidi" w:cstheme="majorBidi"/>
          <w:b/>
          <w:bCs/>
          <w:szCs w:val="24"/>
        </w:rPr>
        <w:t>group</w:t>
      </w:r>
      <w:r w:rsidR="00071DB3">
        <w:rPr>
          <w:rFonts w:asciiTheme="majorBidi" w:hAnsiTheme="majorBidi" w:cstheme="majorBidi"/>
          <w:b/>
          <w:bCs/>
          <w:szCs w:val="24"/>
        </w:rPr>
        <w:t>-</w:t>
      </w:r>
      <w:r w:rsidR="004305B8" w:rsidRPr="00A87BE6">
        <w:rPr>
          <w:rFonts w:asciiTheme="majorBidi" w:hAnsiTheme="majorBidi" w:cstheme="majorBidi"/>
          <w:b/>
          <w:bCs/>
          <w:szCs w:val="24"/>
        </w:rPr>
        <w:t>common</w:t>
      </w:r>
      <w:r w:rsidRPr="00A87BE6">
        <w:rPr>
          <w:rFonts w:asciiTheme="majorBidi" w:hAnsiTheme="majorBidi" w:cstheme="majorBidi"/>
          <w:b/>
          <w:bCs/>
          <w:szCs w:val="24"/>
        </w:rPr>
        <w:t xml:space="preserve"> DCI </w:t>
      </w:r>
      <w:r w:rsidR="00071DB3">
        <w:rPr>
          <w:rFonts w:asciiTheme="majorBidi" w:hAnsiTheme="majorBidi" w:cstheme="majorBidi"/>
          <w:b/>
          <w:bCs/>
          <w:szCs w:val="24"/>
        </w:rPr>
        <w:t xml:space="preserve">can be used to </w:t>
      </w:r>
      <w:r w:rsidRPr="00A87BE6">
        <w:rPr>
          <w:rFonts w:asciiTheme="majorBidi" w:hAnsiTheme="majorBidi" w:cstheme="majorBidi"/>
          <w:b/>
          <w:bCs/>
          <w:szCs w:val="24"/>
        </w:rPr>
        <w:t>releas</w:t>
      </w:r>
      <w:r w:rsidR="00071DB3">
        <w:rPr>
          <w:rFonts w:asciiTheme="majorBidi" w:hAnsiTheme="majorBidi" w:cstheme="majorBidi"/>
          <w:b/>
          <w:bCs/>
          <w:szCs w:val="24"/>
        </w:rPr>
        <w:t>e</w:t>
      </w:r>
      <w:r w:rsidRPr="00A87BE6">
        <w:rPr>
          <w:rFonts w:asciiTheme="majorBidi" w:hAnsiTheme="majorBidi" w:cstheme="majorBidi"/>
          <w:b/>
          <w:bCs/>
          <w:szCs w:val="24"/>
        </w:rPr>
        <w:t xml:space="preserve"> </w:t>
      </w:r>
      <w:r w:rsidR="0002521D">
        <w:rPr>
          <w:rFonts w:asciiTheme="majorBidi" w:hAnsiTheme="majorBidi" w:cstheme="majorBidi"/>
          <w:b/>
          <w:bCs/>
          <w:szCs w:val="24"/>
        </w:rPr>
        <w:t xml:space="preserve">a </w:t>
      </w:r>
      <w:r w:rsidRPr="00A87BE6">
        <w:rPr>
          <w:rFonts w:asciiTheme="majorBidi" w:hAnsiTheme="majorBidi" w:cstheme="majorBidi"/>
          <w:b/>
          <w:bCs/>
          <w:szCs w:val="24"/>
        </w:rPr>
        <w:t>group</w:t>
      </w:r>
      <w:r w:rsidRPr="00AA2092">
        <w:rPr>
          <w:rFonts w:asciiTheme="majorBidi" w:hAnsiTheme="majorBidi" w:cstheme="majorBidi"/>
          <w:b/>
          <w:bCs/>
          <w:szCs w:val="24"/>
        </w:rPr>
        <w:t xml:space="preserve"> of CG configurations</w:t>
      </w:r>
      <w:r w:rsidR="009D56A4">
        <w:rPr>
          <w:rFonts w:asciiTheme="majorBidi" w:hAnsiTheme="majorBidi" w:cstheme="majorBidi"/>
          <w:b/>
          <w:bCs/>
          <w:szCs w:val="24"/>
        </w:rPr>
        <w:t>.</w:t>
      </w:r>
    </w:p>
    <w:p w14:paraId="2C2176F7" w14:textId="68A15322" w:rsidR="00D17946" w:rsidRDefault="00183DAA" w:rsidP="002B0B5E">
      <w:pPr>
        <w:jc w:val="both"/>
        <w:rPr>
          <w:rFonts w:asciiTheme="majorBidi" w:hAnsiTheme="majorBidi" w:cstheme="majorBidi"/>
          <w:b/>
          <w:bCs/>
          <w:szCs w:val="24"/>
        </w:rPr>
      </w:pPr>
      <w:r>
        <w:rPr>
          <w:rFonts w:asciiTheme="majorBidi" w:hAnsiTheme="majorBidi" w:cstheme="majorBidi"/>
          <w:bCs/>
          <w:szCs w:val="24"/>
        </w:rPr>
        <w:lastRenderedPageBreak/>
        <w:t xml:space="preserve">For </w:t>
      </w:r>
      <w:r w:rsidR="00326181" w:rsidRPr="002B0B5E">
        <w:rPr>
          <w:rFonts w:asciiTheme="majorBidi" w:hAnsiTheme="majorBidi" w:cstheme="majorBidi"/>
          <w:bCs/>
          <w:szCs w:val="24"/>
        </w:rPr>
        <w:t xml:space="preserve">different active CG configurations </w:t>
      </w:r>
      <w:r>
        <w:rPr>
          <w:rFonts w:asciiTheme="majorBidi" w:hAnsiTheme="majorBidi" w:cstheme="majorBidi"/>
          <w:bCs/>
          <w:szCs w:val="24"/>
        </w:rPr>
        <w:t>where following Rel-15 formulation for HARQ ID determination would result</w:t>
      </w:r>
      <w:r w:rsidR="00F37325">
        <w:rPr>
          <w:rFonts w:asciiTheme="majorBidi" w:hAnsiTheme="majorBidi" w:cstheme="majorBidi"/>
          <w:bCs/>
          <w:szCs w:val="24"/>
        </w:rPr>
        <w:t xml:space="preserve"> in</w:t>
      </w:r>
      <w:r>
        <w:rPr>
          <w:rFonts w:asciiTheme="majorBidi" w:hAnsiTheme="majorBidi" w:cstheme="majorBidi"/>
          <w:bCs/>
          <w:szCs w:val="24"/>
        </w:rPr>
        <w:t xml:space="preserve"> the same process ID</w:t>
      </w:r>
      <w:r w:rsidR="00326181" w:rsidRPr="002B0B5E">
        <w:rPr>
          <w:rFonts w:asciiTheme="majorBidi" w:hAnsiTheme="majorBidi" w:cstheme="majorBidi"/>
          <w:bCs/>
          <w:szCs w:val="24"/>
        </w:rPr>
        <w:t xml:space="preserve">, </w:t>
      </w:r>
      <w:r w:rsidR="006103DE">
        <w:rPr>
          <w:rFonts w:asciiTheme="majorBidi" w:hAnsiTheme="majorBidi" w:cstheme="majorBidi"/>
          <w:bCs/>
          <w:szCs w:val="24"/>
        </w:rPr>
        <w:t xml:space="preserve">it is needed </w:t>
      </w:r>
      <w:r w:rsidR="00326181" w:rsidRPr="002B0B5E">
        <w:rPr>
          <w:rFonts w:asciiTheme="majorBidi" w:hAnsiTheme="majorBidi" w:cstheme="majorBidi"/>
          <w:bCs/>
          <w:szCs w:val="24"/>
        </w:rPr>
        <w:t xml:space="preserve">to split the HARQ IDs between </w:t>
      </w:r>
      <w:r>
        <w:rPr>
          <w:rFonts w:asciiTheme="majorBidi" w:hAnsiTheme="majorBidi" w:cstheme="majorBidi"/>
          <w:bCs/>
          <w:szCs w:val="24"/>
        </w:rPr>
        <w:t xml:space="preserve">such </w:t>
      </w:r>
      <w:r w:rsidR="00326181" w:rsidRPr="002B0B5E">
        <w:rPr>
          <w:rFonts w:asciiTheme="majorBidi" w:hAnsiTheme="majorBidi" w:cstheme="majorBidi"/>
          <w:bCs/>
          <w:szCs w:val="24"/>
        </w:rPr>
        <w:t>different CG configurations</w:t>
      </w:r>
      <w:r w:rsidR="002B0B5E">
        <w:rPr>
          <w:rFonts w:asciiTheme="majorBidi" w:hAnsiTheme="majorBidi" w:cstheme="majorBidi"/>
          <w:bCs/>
          <w:szCs w:val="24"/>
        </w:rPr>
        <w:t xml:space="preserve">. </w:t>
      </w:r>
      <w:r w:rsidR="00F37325">
        <w:rPr>
          <w:rFonts w:asciiTheme="majorBidi" w:hAnsiTheme="majorBidi" w:cstheme="majorBidi"/>
          <w:bCs/>
          <w:szCs w:val="24"/>
        </w:rPr>
        <w:t xml:space="preserve">Within each </w:t>
      </w:r>
      <w:proofErr w:type="spellStart"/>
      <w:r w:rsidR="00F37325">
        <w:rPr>
          <w:rFonts w:asciiTheme="majorBidi" w:hAnsiTheme="majorBidi" w:cstheme="majorBidi"/>
          <w:bCs/>
          <w:szCs w:val="24"/>
        </w:rPr>
        <w:t>confiugration</w:t>
      </w:r>
      <w:proofErr w:type="spellEnd"/>
      <w:r w:rsidR="002B0B5E">
        <w:rPr>
          <w:rFonts w:asciiTheme="majorBidi" w:hAnsiTheme="majorBidi" w:cstheme="majorBidi"/>
          <w:bCs/>
          <w:szCs w:val="24"/>
        </w:rPr>
        <w:t xml:space="preserve">, </w:t>
      </w:r>
      <w:r w:rsidR="0051461C">
        <w:rPr>
          <w:rFonts w:asciiTheme="majorBidi" w:hAnsiTheme="majorBidi" w:cstheme="majorBidi"/>
          <w:bCs/>
          <w:szCs w:val="24"/>
        </w:rPr>
        <w:t>w</w:t>
      </w:r>
      <w:r w:rsidR="00326181" w:rsidRPr="00326181">
        <w:rPr>
          <w:rFonts w:asciiTheme="majorBidi" w:hAnsiTheme="majorBidi" w:cstheme="majorBidi"/>
          <w:bCs/>
          <w:szCs w:val="24"/>
        </w:rPr>
        <w:t xml:space="preserve">e can adopt Rel-15 procedure in determining the HARQ ID, from </w:t>
      </w:r>
      <w:r w:rsidR="0051461C">
        <w:rPr>
          <w:rFonts w:asciiTheme="majorBidi" w:hAnsiTheme="majorBidi" w:cstheme="majorBidi"/>
          <w:bCs/>
          <w:szCs w:val="24"/>
        </w:rPr>
        <w:t xml:space="preserve">the </w:t>
      </w:r>
      <w:r w:rsidR="00326181" w:rsidRPr="00326181">
        <w:rPr>
          <w:rFonts w:asciiTheme="majorBidi" w:hAnsiTheme="majorBidi" w:cstheme="majorBidi"/>
          <w:bCs/>
          <w:szCs w:val="24"/>
        </w:rPr>
        <w:t xml:space="preserve">offset and </w:t>
      </w:r>
      <w:r w:rsidR="0051461C">
        <w:rPr>
          <w:rFonts w:asciiTheme="majorBidi" w:hAnsiTheme="majorBidi" w:cstheme="majorBidi"/>
          <w:bCs/>
          <w:szCs w:val="24"/>
        </w:rPr>
        <w:t xml:space="preserve">the </w:t>
      </w:r>
      <w:r w:rsidR="00326181" w:rsidRPr="00326181">
        <w:rPr>
          <w:rFonts w:asciiTheme="majorBidi" w:hAnsiTheme="majorBidi" w:cstheme="majorBidi"/>
          <w:bCs/>
          <w:szCs w:val="24"/>
        </w:rPr>
        <w:t>transmission occasion, within the same set of HARQ process IDs</w:t>
      </w:r>
      <w:r w:rsidR="002B0B5E">
        <w:rPr>
          <w:rFonts w:asciiTheme="majorBidi" w:hAnsiTheme="majorBidi" w:cstheme="majorBidi"/>
          <w:bCs/>
          <w:szCs w:val="24"/>
        </w:rPr>
        <w:t xml:space="preserve">. </w:t>
      </w:r>
      <w:r w:rsidR="00326181" w:rsidRPr="00326181">
        <w:rPr>
          <w:rFonts w:asciiTheme="majorBidi" w:hAnsiTheme="majorBidi" w:cstheme="majorBidi"/>
          <w:bCs/>
          <w:szCs w:val="24"/>
        </w:rPr>
        <w:t xml:space="preserve"> </w:t>
      </w:r>
    </w:p>
    <w:p w14:paraId="05570455" w14:textId="0FFF2362" w:rsidR="00326181" w:rsidRPr="002B0B5E" w:rsidRDefault="00326181" w:rsidP="002B0B5E">
      <w:pPr>
        <w:jc w:val="both"/>
        <w:rPr>
          <w:rFonts w:asciiTheme="majorBidi" w:hAnsiTheme="majorBidi" w:cstheme="majorBidi"/>
          <w:b/>
          <w:bCs/>
          <w:szCs w:val="24"/>
        </w:rPr>
      </w:pPr>
      <w:r w:rsidRPr="002B0B5E">
        <w:rPr>
          <w:rFonts w:asciiTheme="majorBidi" w:hAnsiTheme="majorBidi" w:cstheme="majorBidi"/>
          <w:b/>
          <w:bCs/>
          <w:szCs w:val="24"/>
        </w:rPr>
        <w:t xml:space="preserve">Proposal 3: </w:t>
      </w:r>
      <w:r w:rsidR="0051461C">
        <w:rPr>
          <w:rFonts w:asciiTheme="majorBidi" w:hAnsiTheme="majorBidi" w:cstheme="majorBidi"/>
          <w:b/>
          <w:bCs/>
          <w:szCs w:val="24"/>
        </w:rPr>
        <w:t>For supporting multiple active CG configuration per BWP, s</w:t>
      </w:r>
      <w:r w:rsidR="0051461C" w:rsidRPr="002B0B5E">
        <w:rPr>
          <w:rFonts w:asciiTheme="majorBidi" w:hAnsiTheme="majorBidi" w:cstheme="majorBidi"/>
          <w:b/>
          <w:bCs/>
          <w:szCs w:val="24"/>
        </w:rPr>
        <w:t xml:space="preserve">plit </w:t>
      </w:r>
      <w:r w:rsidRPr="002B0B5E">
        <w:rPr>
          <w:rFonts w:asciiTheme="majorBidi" w:hAnsiTheme="majorBidi" w:cstheme="majorBidi"/>
          <w:b/>
          <w:bCs/>
          <w:szCs w:val="24"/>
        </w:rPr>
        <w:t>HARQ IDs between CG configurations</w:t>
      </w:r>
      <w:r w:rsidR="006561A5">
        <w:rPr>
          <w:rFonts w:asciiTheme="majorBidi" w:hAnsiTheme="majorBidi" w:cstheme="majorBidi"/>
          <w:b/>
          <w:bCs/>
          <w:szCs w:val="24"/>
        </w:rPr>
        <w:t xml:space="preserve"> that otherwise will end up with the same HARQ-ID under Rel-15 process ID determination</w:t>
      </w:r>
      <w:r w:rsidR="009D56A4">
        <w:rPr>
          <w:rFonts w:asciiTheme="majorBidi" w:hAnsiTheme="majorBidi" w:cstheme="majorBidi"/>
          <w:b/>
          <w:bCs/>
          <w:szCs w:val="24"/>
        </w:rPr>
        <w:t>.</w:t>
      </w:r>
    </w:p>
    <w:p w14:paraId="76EB4755" w14:textId="6EA7E990" w:rsidR="00007571" w:rsidRDefault="00007571" w:rsidP="00007571">
      <w:pPr>
        <w:pStyle w:val="Heading1"/>
        <w:pBdr>
          <w:top w:val="single" w:sz="12" w:space="0" w:color="auto"/>
        </w:pBdr>
        <w:jc w:val="both"/>
        <w:rPr>
          <w:rFonts w:ascii="Times New Roman" w:hAnsi="Times New Roman"/>
        </w:rPr>
      </w:pPr>
      <w:r>
        <w:rPr>
          <w:rFonts w:ascii="Times New Roman" w:hAnsi="Times New Roman"/>
        </w:rPr>
        <w:t xml:space="preserve">SPS enhancement for </w:t>
      </w:r>
      <w:r w:rsidR="00CC6953">
        <w:rPr>
          <w:rFonts w:ascii="Times New Roman" w:hAnsi="Times New Roman"/>
        </w:rPr>
        <w:t>URLLC</w:t>
      </w:r>
    </w:p>
    <w:p w14:paraId="2C497812" w14:textId="2F31FEF8" w:rsidR="00560CCB" w:rsidRPr="0006064F" w:rsidRDefault="00560CCB" w:rsidP="00560CCB">
      <w:pPr>
        <w:jc w:val="both"/>
        <w:rPr>
          <w:szCs w:val="24"/>
          <w:lang w:val="en-GB" w:eastAsia="ko-KR"/>
        </w:rPr>
      </w:pPr>
      <w:r w:rsidRPr="0006064F">
        <w:rPr>
          <w:szCs w:val="24"/>
          <w:lang w:val="en-GB" w:eastAsia="ko-KR"/>
        </w:rPr>
        <w:t xml:space="preserve">For small data payload (e.g., 50 bytes), the PDCCH overhead can be significant (especially so since the downlink CRC alone has 24 bits). In addition, PDCCH errors results in additional packet errors. This motivates the need of PDCCH-free (control-less) downlink data transmission. Currently, the smallest SPS periodicity for NR-SPS is 10ms, which is much larger than the minimum periodicity of 1ms for subframe-based LTE, and certainly much larger than that of the </w:t>
      </w:r>
      <w:proofErr w:type="spellStart"/>
      <w:r w:rsidRPr="0006064F">
        <w:rPr>
          <w:szCs w:val="24"/>
          <w:lang w:val="en-GB" w:eastAsia="ko-KR"/>
        </w:rPr>
        <w:t>sTTI</w:t>
      </w:r>
      <w:proofErr w:type="spellEnd"/>
      <w:r w:rsidRPr="0006064F">
        <w:rPr>
          <w:szCs w:val="24"/>
          <w:lang w:val="en-GB" w:eastAsia="ko-KR"/>
        </w:rPr>
        <w:t>. To make DL SPS for URLLC competitive to that of the LTE/</w:t>
      </w:r>
      <w:proofErr w:type="spellStart"/>
      <w:r w:rsidRPr="0006064F">
        <w:rPr>
          <w:szCs w:val="24"/>
          <w:lang w:val="en-GB" w:eastAsia="ko-KR"/>
        </w:rPr>
        <w:t>sTTI</w:t>
      </w:r>
      <w:proofErr w:type="spellEnd"/>
      <w:r w:rsidRPr="0006064F">
        <w:rPr>
          <w:szCs w:val="24"/>
          <w:lang w:val="en-GB" w:eastAsia="ko-KR"/>
        </w:rPr>
        <w:t>, it is natural to allow the same or shorter SPS periodicities than the ones supported in LTE/</w:t>
      </w:r>
      <w:proofErr w:type="spellStart"/>
      <w:r w:rsidRPr="0006064F">
        <w:rPr>
          <w:szCs w:val="24"/>
          <w:lang w:val="en-GB" w:eastAsia="ko-KR"/>
        </w:rPr>
        <w:t>sTTI</w:t>
      </w:r>
      <w:proofErr w:type="spellEnd"/>
      <w:r w:rsidRPr="0006064F">
        <w:rPr>
          <w:szCs w:val="24"/>
          <w:lang w:val="en-GB" w:eastAsia="ko-KR"/>
        </w:rPr>
        <w:t xml:space="preserve">. </w:t>
      </w:r>
      <w:r w:rsidR="001C0273">
        <w:rPr>
          <w:szCs w:val="24"/>
          <w:lang w:val="en-GB" w:eastAsia="ko-KR"/>
        </w:rPr>
        <w:t>As we discuss in more details in our companion paper [3], we</w:t>
      </w:r>
      <w:r w:rsidRPr="0006064F">
        <w:rPr>
          <w:szCs w:val="24"/>
          <w:lang w:val="en-GB" w:eastAsia="ko-KR"/>
        </w:rPr>
        <w:t xml:space="preserve"> propose the following:</w:t>
      </w:r>
    </w:p>
    <w:p w14:paraId="407016CE" w14:textId="5DB5C1E6" w:rsidR="0023245B" w:rsidRDefault="00560CCB" w:rsidP="0023245B">
      <w:pPr>
        <w:rPr>
          <w:b/>
          <w:bCs/>
        </w:rPr>
      </w:pPr>
      <w:r w:rsidRPr="0006064F">
        <w:rPr>
          <w:b/>
          <w:szCs w:val="24"/>
        </w:rPr>
        <w:t xml:space="preserve">Proposal </w:t>
      </w:r>
      <w:r w:rsidR="00A85489">
        <w:rPr>
          <w:b/>
          <w:iCs/>
          <w:szCs w:val="24"/>
        </w:rPr>
        <w:t>4</w:t>
      </w:r>
      <w:r w:rsidRPr="0006064F">
        <w:rPr>
          <w:b/>
          <w:szCs w:val="24"/>
        </w:rPr>
        <w:t>:</w:t>
      </w:r>
      <w:r w:rsidRPr="0006064F">
        <w:rPr>
          <w:rFonts w:ascii="Qualcomm Office Regular" w:eastAsiaTheme="minorEastAsia" w:hAnsi="Qualcomm Office Regular" w:cs="Arial"/>
          <w:color w:val="404040"/>
          <w:kern w:val="24"/>
          <w:szCs w:val="24"/>
          <w14:textFill>
            <w14:solidFill>
              <w14:srgbClr w14:val="404040">
                <w14:lumMod w14:val="75000"/>
                <w14:lumOff w14:val="25000"/>
              </w14:srgbClr>
            </w14:solidFill>
          </w14:textFill>
        </w:rPr>
        <w:t xml:space="preserve"> </w:t>
      </w:r>
      <w:r w:rsidR="0023245B">
        <w:rPr>
          <w:b/>
          <w:bCs/>
        </w:rPr>
        <w:t xml:space="preserve">Support following new SPS periodicity values for NR: 0.5 </w:t>
      </w:r>
      <w:proofErr w:type="spellStart"/>
      <w:r w:rsidR="0023245B">
        <w:rPr>
          <w:b/>
          <w:bCs/>
        </w:rPr>
        <w:t>ms</w:t>
      </w:r>
      <w:proofErr w:type="spellEnd"/>
      <w:r w:rsidR="0023245B">
        <w:rPr>
          <w:b/>
          <w:bCs/>
        </w:rPr>
        <w:t xml:space="preserve">, 1 </w:t>
      </w:r>
      <w:proofErr w:type="spellStart"/>
      <w:r w:rsidR="0023245B">
        <w:rPr>
          <w:b/>
          <w:bCs/>
        </w:rPr>
        <w:t>ms</w:t>
      </w:r>
      <w:proofErr w:type="spellEnd"/>
      <w:r w:rsidR="0023245B">
        <w:rPr>
          <w:b/>
          <w:bCs/>
        </w:rPr>
        <w:t xml:space="preserve">, 2 </w:t>
      </w:r>
      <w:proofErr w:type="spellStart"/>
      <w:r w:rsidR="0023245B">
        <w:rPr>
          <w:b/>
          <w:bCs/>
        </w:rPr>
        <w:t>ms</w:t>
      </w:r>
      <w:proofErr w:type="spellEnd"/>
      <w:r w:rsidR="0023245B">
        <w:rPr>
          <w:b/>
          <w:bCs/>
        </w:rPr>
        <w:t xml:space="preserve">, and 5 </w:t>
      </w:r>
      <w:proofErr w:type="spellStart"/>
      <w:r w:rsidR="0023245B">
        <w:rPr>
          <w:b/>
          <w:bCs/>
        </w:rPr>
        <w:t>ms</w:t>
      </w:r>
      <w:proofErr w:type="spellEnd"/>
      <w:r w:rsidR="0023245B">
        <w:rPr>
          <w:b/>
          <w:bCs/>
        </w:rPr>
        <w:t xml:space="preserve">, where support for SPS periodicity value of 0.5 </w:t>
      </w:r>
      <w:proofErr w:type="spellStart"/>
      <w:r w:rsidR="0023245B">
        <w:rPr>
          <w:b/>
          <w:bCs/>
        </w:rPr>
        <w:t>ms</w:t>
      </w:r>
      <w:proofErr w:type="spellEnd"/>
      <w:r w:rsidR="0023245B">
        <w:rPr>
          <w:b/>
          <w:bCs/>
        </w:rPr>
        <w:t xml:space="preserve"> is only required for SCS greater than or equal to 30 kHz.</w:t>
      </w:r>
    </w:p>
    <w:p w14:paraId="1D923B10" w14:textId="4972E11D" w:rsidR="003A3006" w:rsidRDefault="003A3006" w:rsidP="00A80978">
      <w:pPr>
        <w:pStyle w:val="Heading1"/>
        <w:pBdr>
          <w:top w:val="single" w:sz="12" w:space="0" w:color="auto"/>
        </w:pBdr>
        <w:jc w:val="both"/>
        <w:rPr>
          <w:rFonts w:ascii="Times New Roman" w:hAnsi="Times New Roman"/>
        </w:rPr>
      </w:pPr>
      <w:bookmarkStart w:id="2" w:name="_GoBack"/>
      <w:bookmarkEnd w:id="2"/>
      <w:r>
        <w:rPr>
          <w:rFonts w:ascii="Times New Roman" w:hAnsi="Times New Roman"/>
        </w:rPr>
        <w:t>Conclusion</w:t>
      </w:r>
    </w:p>
    <w:p w14:paraId="71B29C19" w14:textId="4843DA01" w:rsidR="00B6421A" w:rsidRDefault="00B6421A" w:rsidP="008C4FB4">
      <w:pPr>
        <w:tabs>
          <w:tab w:val="num" w:pos="2160"/>
          <w:tab w:val="num" w:pos="2880"/>
        </w:tabs>
        <w:jc w:val="both"/>
        <w:rPr>
          <w:rFonts w:asciiTheme="majorBidi" w:hAnsiTheme="majorBidi" w:cstheme="majorBidi"/>
          <w:bCs/>
          <w:szCs w:val="24"/>
        </w:rPr>
      </w:pPr>
      <w:r w:rsidRPr="00FC03C9">
        <w:rPr>
          <w:rFonts w:asciiTheme="majorBidi" w:hAnsiTheme="majorBidi" w:cstheme="majorBidi"/>
          <w:bCs/>
          <w:szCs w:val="24"/>
        </w:rPr>
        <w:t>In this contribution, we make the following proposal</w:t>
      </w:r>
      <w:r w:rsidR="00AD6DE0" w:rsidRPr="00FC03C9">
        <w:rPr>
          <w:rFonts w:asciiTheme="majorBidi" w:hAnsiTheme="majorBidi" w:cstheme="majorBidi"/>
          <w:bCs/>
          <w:szCs w:val="24"/>
        </w:rPr>
        <w:t>s</w:t>
      </w:r>
      <w:r w:rsidR="009E4037">
        <w:rPr>
          <w:rFonts w:asciiTheme="majorBidi" w:hAnsiTheme="majorBidi" w:cstheme="majorBidi"/>
          <w:bCs/>
          <w:szCs w:val="24"/>
        </w:rPr>
        <w:t>:</w:t>
      </w:r>
      <w:r w:rsidRPr="00FC03C9">
        <w:rPr>
          <w:rFonts w:asciiTheme="majorBidi" w:hAnsiTheme="majorBidi" w:cstheme="majorBidi"/>
          <w:bCs/>
          <w:szCs w:val="24"/>
        </w:rPr>
        <w:t xml:space="preserve"> </w:t>
      </w:r>
    </w:p>
    <w:p w14:paraId="2B81EDA6" w14:textId="77777777" w:rsidR="009D56A4" w:rsidRDefault="009D56A4" w:rsidP="009D56A4">
      <w:pPr>
        <w:jc w:val="both"/>
        <w:rPr>
          <w:rFonts w:asciiTheme="majorBidi" w:hAnsiTheme="majorBidi" w:cstheme="majorBidi"/>
          <w:b/>
          <w:bCs/>
          <w:szCs w:val="24"/>
          <w:lang w:val="en-GB"/>
        </w:rPr>
      </w:pPr>
      <w:r>
        <w:rPr>
          <w:b/>
          <w:szCs w:val="24"/>
          <w:lang w:val="en-GB"/>
        </w:rPr>
        <w:t>Observation 1</w:t>
      </w:r>
      <w:r w:rsidRPr="00362A96">
        <w:rPr>
          <w:b/>
          <w:szCs w:val="24"/>
          <w:lang w:val="en-GB"/>
        </w:rPr>
        <w:t xml:space="preserve">: </w:t>
      </w:r>
      <w:r>
        <w:rPr>
          <w:b/>
          <w:szCs w:val="24"/>
          <w:lang w:val="en-GB"/>
        </w:rPr>
        <w:t>Option 4 in [1] provides a better commonality between the design of CG PUSCH and DG PUSCH.</w:t>
      </w:r>
    </w:p>
    <w:p w14:paraId="0E6AB722" w14:textId="77777777" w:rsidR="00BF027D" w:rsidRDefault="00BF027D" w:rsidP="00BF027D">
      <w:pPr>
        <w:jc w:val="both"/>
        <w:rPr>
          <w:rFonts w:asciiTheme="majorBidi" w:hAnsiTheme="majorBidi" w:cstheme="majorBidi"/>
          <w:b/>
          <w:bCs/>
          <w:szCs w:val="24"/>
        </w:rPr>
      </w:pPr>
      <w:r w:rsidRPr="00E259DB">
        <w:rPr>
          <w:rFonts w:asciiTheme="majorBidi" w:hAnsiTheme="majorBidi" w:cstheme="majorBidi"/>
          <w:b/>
          <w:bCs/>
          <w:szCs w:val="24"/>
        </w:rPr>
        <w:t xml:space="preserve">Proposal 1: </w:t>
      </w:r>
      <w:r>
        <w:rPr>
          <w:rFonts w:asciiTheme="majorBidi" w:hAnsiTheme="majorBidi" w:cstheme="majorBidi"/>
          <w:b/>
          <w:bCs/>
          <w:szCs w:val="24"/>
        </w:rPr>
        <w:t>In Rel. 16, if a UE supports multiple Type-2 active CG configurations per BWP, each CG configuration is activated independently via a separate DCI.</w:t>
      </w:r>
    </w:p>
    <w:p w14:paraId="74166F3C" w14:textId="77777777" w:rsidR="0002521D" w:rsidRPr="00AA2092" w:rsidRDefault="0002521D" w:rsidP="0002521D">
      <w:pPr>
        <w:jc w:val="both"/>
        <w:rPr>
          <w:rFonts w:asciiTheme="majorBidi" w:hAnsiTheme="majorBidi" w:cstheme="majorBidi"/>
          <w:b/>
          <w:bCs/>
          <w:szCs w:val="24"/>
        </w:rPr>
      </w:pPr>
      <w:r w:rsidRPr="00A87BE6">
        <w:rPr>
          <w:rFonts w:asciiTheme="majorBidi" w:hAnsiTheme="majorBidi" w:cstheme="majorBidi"/>
          <w:b/>
          <w:bCs/>
          <w:szCs w:val="24"/>
        </w:rPr>
        <w:t xml:space="preserve">Proposal 2: </w:t>
      </w:r>
      <w:r>
        <w:rPr>
          <w:rFonts w:asciiTheme="majorBidi" w:hAnsiTheme="majorBidi" w:cstheme="majorBidi"/>
          <w:b/>
          <w:bCs/>
          <w:szCs w:val="24"/>
        </w:rPr>
        <w:t>In Rel. 16, if a UE supports multiple Type-2 active CG configurations per BWP,</w:t>
      </w:r>
      <w:r w:rsidRPr="00A87BE6" w:rsidDel="00071DB3">
        <w:rPr>
          <w:rFonts w:asciiTheme="majorBidi" w:hAnsiTheme="majorBidi" w:cstheme="majorBidi"/>
          <w:b/>
          <w:bCs/>
          <w:szCs w:val="24"/>
        </w:rPr>
        <w:t xml:space="preserve"> </w:t>
      </w:r>
      <w:r>
        <w:rPr>
          <w:rFonts w:asciiTheme="majorBidi" w:hAnsiTheme="majorBidi" w:cstheme="majorBidi"/>
          <w:b/>
          <w:bCs/>
          <w:szCs w:val="24"/>
        </w:rPr>
        <w:t xml:space="preserve">a </w:t>
      </w:r>
      <w:r w:rsidRPr="00A87BE6">
        <w:rPr>
          <w:rFonts w:asciiTheme="majorBidi" w:hAnsiTheme="majorBidi" w:cstheme="majorBidi"/>
          <w:b/>
          <w:bCs/>
          <w:szCs w:val="24"/>
        </w:rPr>
        <w:t>group</w:t>
      </w:r>
      <w:r>
        <w:rPr>
          <w:rFonts w:asciiTheme="majorBidi" w:hAnsiTheme="majorBidi" w:cstheme="majorBidi"/>
          <w:b/>
          <w:bCs/>
          <w:szCs w:val="24"/>
        </w:rPr>
        <w:t>-</w:t>
      </w:r>
      <w:r w:rsidRPr="00A87BE6">
        <w:rPr>
          <w:rFonts w:asciiTheme="majorBidi" w:hAnsiTheme="majorBidi" w:cstheme="majorBidi"/>
          <w:b/>
          <w:bCs/>
          <w:szCs w:val="24"/>
        </w:rPr>
        <w:t xml:space="preserve">common DCI </w:t>
      </w:r>
      <w:r>
        <w:rPr>
          <w:rFonts w:asciiTheme="majorBidi" w:hAnsiTheme="majorBidi" w:cstheme="majorBidi"/>
          <w:b/>
          <w:bCs/>
          <w:szCs w:val="24"/>
        </w:rPr>
        <w:t xml:space="preserve">can be used to </w:t>
      </w:r>
      <w:r w:rsidRPr="00A87BE6">
        <w:rPr>
          <w:rFonts w:asciiTheme="majorBidi" w:hAnsiTheme="majorBidi" w:cstheme="majorBidi"/>
          <w:b/>
          <w:bCs/>
          <w:szCs w:val="24"/>
        </w:rPr>
        <w:t>releas</w:t>
      </w:r>
      <w:r>
        <w:rPr>
          <w:rFonts w:asciiTheme="majorBidi" w:hAnsiTheme="majorBidi" w:cstheme="majorBidi"/>
          <w:b/>
          <w:bCs/>
          <w:szCs w:val="24"/>
        </w:rPr>
        <w:t>e</w:t>
      </w:r>
      <w:r w:rsidRPr="00A87BE6">
        <w:rPr>
          <w:rFonts w:asciiTheme="majorBidi" w:hAnsiTheme="majorBidi" w:cstheme="majorBidi"/>
          <w:b/>
          <w:bCs/>
          <w:szCs w:val="24"/>
        </w:rPr>
        <w:t xml:space="preserve"> </w:t>
      </w:r>
      <w:r>
        <w:rPr>
          <w:rFonts w:asciiTheme="majorBidi" w:hAnsiTheme="majorBidi" w:cstheme="majorBidi"/>
          <w:b/>
          <w:bCs/>
          <w:szCs w:val="24"/>
        </w:rPr>
        <w:t xml:space="preserve">a </w:t>
      </w:r>
      <w:r w:rsidRPr="00A87BE6">
        <w:rPr>
          <w:rFonts w:asciiTheme="majorBidi" w:hAnsiTheme="majorBidi" w:cstheme="majorBidi"/>
          <w:b/>
          <w:bCs/>
          <w:szCs w:val="24"/>
        </w:rPr>
        <w:t>group</w:t>
      </w:r>
      <w:r w:rsidRPr="00AA2092">
        <w:rPr>
          <w:rFonts w:asciiTheme="majorBidi" w:hAnsiTheme="majorBidi" w:cstheme="majorBidi"/>
          <w:b/>
          <w:bCs/>
          <w:szCs w:val="24"/>
        </w:rPr>
        <w:t xml:space="preserve"> of CG configurations</w:t>
      </w:r>
      <w:r>
        <w:rPr>
          <w:rFonts w:asciiTheme="majorBidi" w:hAnsiTheme="majorBidi" w:cstheme="majorBidi"/>
          <w:b/>
          <w:bCs/>
          <w:szCs w:val="24"/>
        </w:rPr>
        <w:t>.</w:t>
      </w:r>
    </w:p>
    <w:p w14:paraId="40BC0096" w14:textId="77777777" w:rsidR="0051461C" w:rsidRPr="002B0B5E" w:rsidRDefault="0051461C" w:rsidP="0051461C">
      <w:pPr>
        <w:jc w:val="both"/>
        <w:rPr>
          <w:rFonts w:asciiTheme="majorBidi" w:hAnsiTheme="majorBidi" w:cstheme="majorBidi"/>
          <w:b/>
          <w:bCs/>
          <w:szCs w:val="24"/>
        </w:rPr>
      </w:pPr>
      <w:r w:rsidRPr="002B0B5E">
        <w:rPr>
          <w:rFonts w:asciiTheme="majorBidi" w:hAnsiTheme="majorBidi" w:cstheme="majorBidi"/>
          <w:b/>
          <w:bCs/>
          <w:szCs w:val="24"/>
        </w:rPr>
        <w:t xml:space="preserve">Proposal 3: </w:t>
      </w:r>
      <w:r>
        <w:rPr>
          <w:rFonts w:asciiTheme="majorBidi" w:hAnsiTheme="majorBidi" w:cstheme="majorBidi"/>
          <w:b/>
          <w:bCs/>
          <w:szCs w:val="24"/>
        </w:rPr>
        <w:t>For supporting multiple active CG configuration per BWP, s</w:t>
      </w:r>
      <w:r w:rsidRPr="002B0B5E">
        <w:rPr>
          <w:rFonts w:asciiTheme="majorBidi" w:hAnsiTheme="majorBidi" w:cstheme="majorBidi"/>
          <w:b/>
          <w:bCs/>
          <w:szCs w:val="24"/>
        </w:rPr>
        <w:t>plit HARQ IDs between overlapping CG configurations</w:t>
      </w:r>
      <w:r>
        <w:rPr>
          <w:rFonts w:asciiTheme="majorBidi" w:hAnsiTheme="majorBidi" w:cstheme="majorBidi"/>
          <w:b/>
          <w:bCs/>
          <w:szCs w:val="24"/>
        </w:rPr>
        <w:t>.</w:t>
      </w:r>
    </w:p>
    <w:p w14:paraId="25744098" w14:textId="1AE48066" w:rsidR="00F26C08" w:rsidRDefault="00F26C08" w:rsidP="00F26C08">
      <w:pPr>
        <w:rPr>
          <w:b/>
          <w:bCs/>
        </w:rPr>
      </w:pPr>
      <w:r w:rsidRPr="0006064F">
        <w:rPr>
          <w:b/>
          <w:szCs w:val="24"/>
        </w:rPr>
        <w:t xml:space="preserve">Proposal </w:t>
      </w:r>
      <w:r w:rsidR="00A85489">
        <w:rPr>
          <w:b/>
          <w:iCs/>
          <w:szCs w:val="24"/>
        </w:rPr>
        <w:t>4</w:t>
      </w:r>
      <w:r w:rsidRPr="0006064F">
        <w:rPr>
          <w:b/>
          <w:szCs w:val="24"/>
        </w:rPr>
        <w:t>:</w:t>
      </w:r>
      <w:r w:rsidRPr="0006064F">
        <w:rPr>
          <w:rFonts w:ascii="Qualcomm Office Regular" w:eastAsiaTheme="minorEastAsia" w:hAnsi="Qualcomm Office Regular" w:cs="Arial"/>
          <w:color w:val="404040"/>
          <w:kern w:val="24"/>
          <w:szCs w:val="24"/>
          <w14:textFill>
            <w14:solidFill>
              <w14:srgbClr w14:val="404040">
                <w14:lumMod w14:val="75000"/>
                <w14:lumOff w14:val="25000"/>
              </w14:srgbClr>
            </w14:solidFill>
          </w14:textFill>
        </w:rPr>
        <w:t xml:space="preserve"> </w:t>
      </w:r>
      <w:r>
        <w:rPr>
          <w:b/>
          <w:bCs/>
        </w:rPr>
        <w:t xml:space="preserve">Support following new SPS periodicity values for NR: 0.5 </w:t>
      </w:r>
      <w:proofErr w:type="spellStart"/>
      <w:r>
        <w:rPr>
          <w:b/>
          <w:bCs/>
        </w:rPr>
        <w:t>ms</w:t>
      </w:r>
      <w:proofErr w:type="spellEnd"/>
      <w:r>
        <w:rPr>
          <w:b/>
          <w:bCs/>
        </w:rPr>
        <w:t xml:space="preserve">, 1 </w:t>
      </w:r>
      <w:proofErr w:type="spellStart"/>
      <w:r>
        <w:rPr>
          <w:b/>
          <w:bCs/>
        </w:rPr>
        <w:t>ms</w:t>
      </w:r>
      <w:proofErr w:type="spellEnd"/>
      <w:r>
        <w:rPr>
          <w:b/>
          <w:bCs/>
        </w:rPr>
        <w:t xml:space="preserve">, 2 </w:t>
      </w:r>
      <w:proofErr w:type="spellStart"/>
      <w:r>
        <w:rPr>
          <w:b/>
          <w:bCs/>
        </w:rPr>
        <w:t>ms</w:t>
      </w:r>
      <w:proofErr w:type="spellEnd"/>
      <w:r>
        <w:rPr>
          <w:b/>
          <w:bCs/>
        </w:rPr>
        <w:t xml:space="preserve">, and 5 </w:t>
      </w:r>
      <w:proofErr w:type="spellStart"/>
      <w:r>
        <w:rPr>
          <w:b/>
          <w:bCs/>
        </w:rPr>
        <w:t>ms</w:t>
      </w:r>
      <w:proofErr w:type="spellEnd"/>
      <w:r>
        <w:rPr>
          <w:b/>
          <w:bCs/>
        </w:rPr>
        <w:t xml:space="preserve">, where support for SPS periodicity value of 0.5 </w:t>
      </w:r>
      <w:proofErr w:type="spellStart"/>
      <w:r>
        <w:rPr>
          <w:b/>
          <w:bCs/>
        </w:rPr>
        <w:t>ms</w:t>
      </w:r>
      <w:proofErr w:type="spellEnd"/>
      <w:r>
        <w:rPr>
          <w:b/>
          <w:bCs/>
        </w:rPr>
        <w:t xml:space="preserve"> is only required for SCS greater than or equal to 30 kHz.</w:t>
      </w:r>
    </w:p>
    <w:p w14:paraId="5854FDFD" w14:textId="19E8237B" w:rsidR="00CC1684" w:rsidRDefault="00CC1684" w:rsidP="00CC1684">
      <w:pPr>
        <w:pStyle w:val="Heading1"/>
        <w:pBdr>
          <w:top w:val="single" w:sz="12" w:space="0" w:color="auto"/>
        </w:pBdr>
        <w:jc w:val="both"/>
        <w:rPr>
          <w:rFonts w:ascii="Times New Roman" w:hAnsi="Times New Roman"/>
        </w:rPr>
      </w:pPr>
      <w:r>
        <w:rPr>
          <w:rFonts w:ascii="Times New Roman" w:hAnsi="Times New Roman"/>
        </w:rPr>
        <w:t>References</w:t>
      </w:r>
    </w:p>
    <w:p w14:paraId="165F320E" w14:textId="7ED120B7" w:rsidR="00633BE3" w:rsidRPr="00936B90" w:rsidRDefault="00633BE3" w:rsidP="00633BE3">
      <w:pPr>
        <w:jc w:val="both"/>
        <w:rPr>
          <w:b/>
          <w:szCs w:val="24"/>
          <w:lang w:val="en-GB"/>
        </w:rPr>
      </w:pPr>
      <w:r w:rsidRPr="00936B90">
        <w:rPr>
          <w:b/>
          <w:szCs w:val="24"/>
          <w:lang w:val="en-GB"/>
        </w:rPr>
        <w:t>[</w:t>
      </w:r>
      <w:r w:rsidR="00936B90">
        <w:rPr>
          <w:b/>
          <w:szCs w:val="24"/>
          <w:lang w:val="en-GB"/>
        </w:rPr>
        <w:t>1</w:t>
      </w:r>
      <w:r w:rsidRPr="00936B90">
        <w:rPr>
          <w:b/>
          <w:szCs w:val="24"/>
          <w:lang w:val="en-GB"/>
        </w:rPr>
        <w:t>] R1-1903797, “Summary of Friday offline discussion on potential enhancements for PUSCH for NR URLLC (AI 7.2.6.1.3),” Nokia</w:t>
      </w:r>
    </w:p>
    <w:p w14:paraId="4EC3880B" w14:textId="36008AE6" w:rsidR="00936B90" w:rsidRDefault="00936B90" w:rsidP="00936B90">
      <w:pPr>
        <w:jc w:val="both"/>
        <w:rPr>
          <w:b/>
          <w:szCs w:val="24"/>
          <w:lang w:val="en-GB"/>
        </w:rPr>
      </w:pPr>
      <w:r w:rsidRPr="001930DF">
        <w:rPr>
          <w:b/>
          <w:szCs w:val="24"/>
          <w:lang w:val="en-GB"/>
        </w:rPr>
        <w:t>[</w:t>
      </w:r>
      <w:r>
        <w:rPr>
          <w:b/>
          <w:szCs w:val="24"/>
          <w:lang w:val="en-GB"/>
        </w:rPr>
        <w:t>2</w:t>
      </w:r>
      <w:r w:rsidRPr="001930DF">
        <w:rPr>
          <w:b/>
          <w:szCs w:val="24"/>
          <w:lang w:val="en-GB"/>
        </w:rPr>
        <w:t>] R1-190</w:t>
      </w:r>
      <w:r w:rsidR="00A04FA0">
        <w:rPr>
          <w:b/>
          <w:szCs w:val="24"/>
          <w:lang w:val="en-GB"/>
        </w:rPr>
        <w:t>5021</w:t>
      </w:r>
      <w:r w:rsidRPr="001930DF">
        <w:rPr>
          <w:b/>
          <w:szCs w:val="24"/>
          <w:lang w:val="en-GB"/>
        </w:rPr>
        <w:t xml:space="preserve">, “PUSCH enhancements for </w:t>
      </w:r>
      <w:proofErr w:type="spellStart"/>
      <w:r w:rsidRPr="001930DF">
        <w:rPr>
          <w:b/>
          <w:szCs w:val="24"/>
          <w:lang w:val="en-GB"/>
        </w:rPr>
        <w:t>eURLLC</w:t>
      </w:r>
      <w:proofErr w:type="spellEnd"/>
      <w:r w:rsidRPr="001930DF">
        <w:rPr>
          <w:b/>
          <w:szCs w:val="24"/>
          <w:lang w:val="en-GB"/>
        </w:rPr>
        <w:t>,” Qualcomm Inc.</w:t>
      </w:r>
    </w:p>
    <w:p w14:paraId="74AB5B39" w14:textId="2F92B1C7" w:rsidR="00743FAD" w:rsidRPr="00743FAD" w:rsidRDefault="0023245B" w:rsidP="00362A26">
      <w:pPr>
        <w:spacing w:after="0"/>
        <w:rPr>
          <w:bCs/>
        </w:rPr>
      </w:pPr>
      <w:r>
        <w:rPr>
          <w:b/>
          <w:szCs w:val="24"/>
          <w:lang w:val="en-GB"/>
        </w:rPr>
        <w:t xml:space="preserve">[3] </w:t>
      </w:r>
      <w:hyperlink r:id="rId12" w:history="1">
        <w:r w:rsidRPr="0023245B">
          <w:rPr>
            <w:b/>
            <w:lang w:val="en-GB"/>
          </w:rPr>
          <w:t>R2-1904677</w:t>
        </w:r>
      </w:hyperlink>
      <w:r w:rsidRPr="0023245B">
        <w:rPr>
          <w:b/>
          <w:lang w:val="en-GB"/>
        </w:rPr>
        <w:t>, “Support for shorter SPS periodicities,” Qualcomm Inc.</w:t>
      </w:r>
    </w:p>
    <w:sectPr w:rsidR="00743FAD" w:rsidRPr="00743FAD"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6B5C9" w14:textId="77777777" w:rsidR="00F119ED" w:rsidRDefault="00F119ED">
      <w:r>
        <w:separator/>
      </w:r>
    </w:p>
  </w:endnote>
  <w:endnote w:type="continuationSeparator" w:id="0">
    <w:p w14:paraId="2232DD60" w14:textId="77777777" w:rsidR="00F119ED" w:rsidRDefault="00F119ED">
      <w:r>
        <w:continuationSeparator/>
      </w:r>
    </w:p>
  </w:endnote>
  <w:endnote w:type="continuationNotice" w:id="1">
    <w:p w14:paraId="467E2CA3" w14:textId="77777777" w:rsidR="00F119ED" w:rsidRDefault="00F11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Regular">
    <w:altName w:val="Calibri"/>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569EC" w14:textId="77777777" w:rsidR="00F119ED" w:rsidRDefault="00F119ED">
      <w:r>
        <w:separator/>
      </w:r>
    </w:p>
  </w:footnote>
  <w:footnote w:type="continuationSeparator" w:id="0">
    <w:p w14:paraId="5DCAD94E" w14:textId="77777777" w:rsidR="00F119ED" w:rsidRDefault="00F119ED">
      <w:r>
        <w:continuationSeparator/>
      </w:r>
    </w:p>
  </w:footnote>
  <w:footnote w:type="continuationNotice" w:id="1">
    <w:p w14:paraId="662F44CB" w14:textId="77777777" w:rsidR="00F119ED" w:rsidRDefault="00F11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A418D"/>
    <w:multiLevelType w:val="hybridMultilevel"/>
    <w:tmpl w:val="9E04ADC4"/>
    <w:lvl w:ilvl="0" w:tplc="7C64AD9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8270C3"/>
    <w:multiLevelType w:val="hybridMultilevel"/>
    <w:tmpl w:val="802C88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D474B"/>
    <w:multiLevelType w:val="hybridMultilevel"/>
    <w:tmpl w:val="B37E9E02"/>
    <w:lvl w:ilvl="0" w:tplc="04090019">
      <w:start w:val="1"/>
      <w:numFmt w:val="lowerLetter"/>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C6520A"/>
    <w:multiLevelType w:val="hybridMultilevel"/>
    <w:tmpl w:val="FB7E974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A556E42"/>
    <w:multiLevelType w:val="hybridMultilevel"/>
    <w:tmpl w:val="F8DE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7F135B07"/>
    <w:multiLevelType w:val="hybridMultilevel"/>
    <w:tmpl w:val="E858F4D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7"/>
  </w:num>
  <w:num w:numId="2">
    <w:abstractNumId w:val="3"/>
  </w:num>
  <w:num w:numId="3">
    <w:abstractNumId w:val="10"/>
    <w:lvlOverride w:ilvl="0">
      <w:startOverride w:val="1"/>
    </w:lvlOverride>
  </w:num>
  <w:num w:numId="4">
    <w:abstractNumId w:val="0"/>
  </w:num>
  <w:num w:numId="5">
    <w:abstractNumId w:val="5"/>
  </w:num>
  <w:num w:numId="6">
    <w:abstractNumId w:val="17"/>
  </w:num>
  <w:num w:numId="7">
    <w:abstractNumId w:val="9"/>
  </w:num>
  <w:num w:numId="8">
    <w:abstractNumId w:val="18"/>
  </w:num>
  <w:num w:numId="9">
    <w:abstractNumId w:val="1"/>
  </w:num>
  <w:num w:numId="10">
    <w:abstractNumId w:val="8"/>
  </w:num>
  <w:num w:numId="11">
    <w:abstractNumId w:val="14"/>
  </w:num>
  <w:num w:numId="12">
    <w:abstractNumId w:val="16"/>
  </w:num>
  <w:num w:numId="13">
    <w:abstractNumId w:val="15"/>
  </w:num>
  <w:num w:numId="14">
    <w:abstractNumId w:val="1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12"/>
  </w:num>
  <w:num w:numId="19">
    <w:abstractNumId w:val="19"/>
  </w:num>
  <w:num w:numId="20">
    <w:abstractNumId w:val="4"/>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21D"/>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CDC"/>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1DB3"/>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B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99B"/>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DAA"/>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0DF"/>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1FDB"/>
    <w:rsid w:val="001B2993"/>
    <w:rsid w:val="001B2C18"/>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273"/>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2BE"/>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45B"/>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6E9"/>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AC4"/>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046"/>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C1F"/>
    <w:rsid w:val="002A1DA1"/>
    <w:rsid w:val="002A205B"/>
    <w:rsid w:val="002A2A75"/>
    <w:rsid w:val="002A2B6C"/>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B5E"/>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526"/>
    <w:rsid w:val="002C2987"/>
    <w:rsid w:val="002C2AE9"/>
    <w:rsid w:val="002C2B29"/>
    <w:rsid w:val="002C2E8A"/>
    <w:rsid w:val="002C2FCD"/>
    <w:rsid w:val="002C369F"/>
    <w:rsid w:val="002C3AE4"/>
    <w:rsid w:val="002C3E89"/>
    <w:rsid w:val="002C42AA"/>
    <w:rsid w:val="002C42D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C8E"/>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181"/>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BE0"/>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A26"/>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02E"/>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5B8"/>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5D"/>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59B"/>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899"/>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61C"/>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5D72"/>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2FC"/>
    <w:rsid w:val="00556680"/>
    <w:rsid w:val="005567BF"/>
    <w:rsid w:val="005569D2"/>
    <w:rsid w:val="00556F79"/>
    <w:rsid w:val="005570E7"/>
    <w:rsid w:val="0055718D"/>
    <w:rsid w:val="00557464"/>
    <w:rsid w:val="0055771C"/>
    <w:rsid w:val="00557A2C"/>
    <w:rsid w:val="00557CAB"/>
    <w:rsid w:val="00557D87"/>
    <w:rsid w:val="00560096"/>
    <w:rsid w:val="00560878"/>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6D0B"/>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3C5"/>
    <w:rsid w:val="00591B9C"/>
    <w:rsid w:val="00591C25"/>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9FD"/>
    <w:rsid w:val="00606D70"/>
    <w:rsid w:val="0060745F"/>
    <w:rsid w:val="006074B1"/>
    <w:rsid w:val="00607ADE"/>
    <w:rsid w:val="00607E68"/>
    <w:rsid w:val="00610224"/>
    <w:rsid w:val="006102C6"/>
    <w:rsid w:val="006103DE"/>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1E"/>
    <w:rsid w:val="006144B0"/>
    <w:rsid w:val="00614BDD"/>
    <w:rsid w:val="00614C2F"/>
    <w:rsid w:val="00614CB4"/>
    <w:rsid w:val="00614D1E"/>
    <w:rsid w:val="00614E35"/>
    <w:rsid w:val="00615178"/>
    <w:rsid w:val="0061524B"/>
    <w:rsid w:val="0061565F"/>
    <w:rsid w:val="006159FA"/>
    <w:rsid w:val="00615BDB"/>
    <w:rsid w:val="006162D2"/>
    <w:rsid w:val="0061634A"/>
    <w:rsid w:val="00616885"/>
    <w:rsid w:val="0061688E"/>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BE3"/>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6A51"/>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872"/>
    <w:rsid w:val="0065594D"/>
    <w:rsid w:val="00655E06"/>
    <w:rsid w:val="006561A5"/>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0FE"/>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5C69"/>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8CC"/>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6923"/>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07"/>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929"/>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2B"/>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4FB4"/>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B90"/>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027"/>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863"/>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6182"/>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6A4"/>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037"/>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4FA0"/>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67"/>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5FF"/>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03B"/>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489"/>
    <w:rsid w:val="00A85628"/>
    <w:rsid w:val="00A85661"/>
    <w:rsid w:val="00A85FFF"/>
    <w:rsid w:val="00A867E7"/>
    <w:rsid w:val="00A86A13"/>
    <w:rsid w:val="00A86F67"/>
    <w:rsid w:val="00A86FEF"/>
    <w:rsid w:val="00A8706A"/>
    <w:rsid w:val="00A87482"/>
    <w:rsid w:val="00A87936"/>
    <w:rsid w:val="00A879E8"/>
    <w:rsid w:val="00A87BE6"/>
    <w:rsid w:val="00A87F4E"/>
    <w:rsid w:val="00A90134"/>
    <w:rsid w:val="00A901CB"/>
    <w:rsid w:val="00A905F1"/>
    <w:rsid w:val="00A9063D"/>
    <w:rsid w:val="00A90E27"/>
    <w:rsid w:val="00A90EB6"/>
    <w:rsid w:val="00A91218"/>
    <w:rsid w:val="00A91469"/>
    <w:rsid w:val="00A9164F"/>
    <w:rsid w:val="00A91F3E"/>
    <w:rsid w:val="00A92457"/>
    <w:rsid w:val="00A926C4"/>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092"/>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4B07"/>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6DE0"/>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1FDF"/>
    <w:rsid w:val="00B6237B"/>
    <w:rsid w:val="00B62894"/>
    <w:rsid w:val="00B62A18"/>
    <w:rsid w:val="00B63870"/>
    <w:rsid w:val="00B640AB"/>
    <w:rsid w:val="00B64124"/>
    <w:rsid w:val="00B6421A"/>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B03"/>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1CD"/>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7D"/>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60F"/>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684"/>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10B"/>
    <w:rsid w:val="00D1552A"/>
    <w:rsid w:val="00D15D9D"/>
    <w:rsid w:val="00D1624D"/>
    <w:rsid w:val="00D1655E"/>
    <w:rsid w:val="00D17869"/>
    <w:rsid w:val="00D1792B"/>
    <w:rsid w:val="00D17946"/>
    <w:rsid w:val="00D17F37"/>
    <w:rsid w:val="00D202D3"/>
    <w:rsid w:val="00D20725"/>
    <w:rsid w:val="00D20CCA"/>
    <w:rsid w:val="00D2171B"/>
    <w:rsid w:val="00D217CE"/>
    <w:rsid w:val="00D21A77"/>
    <w:rsid w:val="00D21E5A"/>
    <w:rsid w:val="00D22148"/>
    <w:rsid w:val="00D229A3"/>
    <w:rsid w:val="00D22D40"/>
    <w:rsid w:val="00D22F49"/>
    <w:rsid w:val="00D23556"/>
    <w:rsid w:val="00D23A1F"/>
    <w:rsid w:val="00D23B89"/>
    <w:rsid w:val="00D23CE2"/>
    <w:rsid w:val="00D244D5"/>
    <w:rsid w:val="00D24D04"/>
    <w:rsid w:val="00D24DA8"/>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DBA"/>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579"/>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3D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78C"/>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9DB"/>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4C2"/>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4E"/>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281"/>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D"/>
    <w:rsid w:val="00EE66B1"/>
    <w:rsid w:val="00EE6B3D"/>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9ED"/>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6C08"/>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32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0DEE"/>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019"/>
    <w:rsid w:val="00F8317F"/>
    <w:rsid w:val="00F83301"/>
    <w:rsid w:val="00F837DD"/>
    <w:rsid w:val="00F840FD"/>
    <w:rsid w:val="00F849D7"/>
    <w:rsid w:val="00F84A2F"/>
    <w:rsid w:val="00F84BAB"/>
    <w:rsid w:val="00F84D93"/>
    <w:rsid w:val="00F850EB"/>
    <w:rsid w:val="00F855CB"/>
    <w:rsid w:val="00F85744"/>
    <w:rsid w:val="00F85E98"/>
    <w:rsid w:val="00F86165"/>
    <w:rsid w:val="00F86178"/>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3C9"/>
    <w:rsid w:val="00FC0AB4"/>
    <w:rsid w:val="00FC0B11"/>
    <w:rsid w:val="00FC0B9B"/>
    <w:rsid w:val="00FC0E12"/>
    <w:rsid w:val="00FC0E5D"/>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4E8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82805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13692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200090">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27821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16324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5bis/Docs/R2-1904677.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HR33RHYHUWRF-4-11689</_dlc_DocId>
    <_dlc_DocIdUrl xmlns="c06861ca-3f08-4d07-bff7-bb15bac121f4">
      <Url>https://projects.qualcomm.com/sites/pentari/_layouts/15/DocIdRedir.aspx?ID=HR33RHYHUWRF-4-11689</Url>
      <Description>HR33RHYHUWRF-4-11689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8DF1694E-DF07-42C7-BC4A-0260650F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3</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jsundara</dc:creator>
  <cp:keywords/>
  <dc:description/>
  <cp:lastModifiedBy>Kianoush Hosseini</cp:lastModifiedBy>
  <cp:revision>2</cp:revision>
  <cp:lastPrinted>2014-11-07T05:38:00Z</cp:lastPrinted>
  <dcterms:created xsi:type="dcterms:W3CDTF">2019-04-03T00:19:00Z</dcterms:created>
  <dcterms:modified xsi:type="dcterms:W3CDTF">2019-04-03T00:19:00Z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b41e8a20-63d0-4865-b86a-842acea16791</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